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Estratégia comercial e preços do Hablachat CRM</w:t>
      </w:r>
    </w:p>
    <w:p>
      <w:pPr/>
      <w:r>
        <w:t>Este plano orienta a direção da Abizara e a equipe de três vendedores no lançamento do Hablachat CRM, marca comercial baseada no AnyChat. A oferta recomendada ocupa uma faixa intermediária do mercado e cobra separadamente licença, implantação assistida e adaptação ao nicho. O crescimento deve seguir a capacidade real de implantar e atender, não apenas a quantidade de contratos.</w:t>
      </w:r>
    </w:p>
    <w:p>
      <w:pPr/>
      <w:r>
        <w:t>Data de referência 03 de outubro de 2026. Valores comerciais são hipóteses de lançamento para aprovação financeira, técnica e contratual. As taxas do funil são metas de aprendizagem, não garantias de receita. Mês 1 é o primeiro mês operacional do lançamento, não necessariamente outubro.</w:t>
      </w:r>
    </w:p>
    <w:p>
      <w:pPr>
        <w:pStyle w:val="Heading1"/>
      </w:pPr>
      <w:r>
        <w:t>Decisões de lançamento</w:t>
      </w:r>
    </w:p>
    <w:p>
      <w:pPr/>
      <w:r>
        <w:t>Concentrar 70% da prospecção inicial em odontologia e imobiliárias, com 30% em estética, advocacia e contabilidade. Essa escolha é uma hipótese: os primeiros 30 diagnósticos devem confirmar urgência, orçamento, aderência técnica e tempo de implantação por segmento. A odontologia começa apenas pelo atendimento administrativo; imobiliárias começam por entrada, distribuição e acompanhamento, sem integração de estoque presumida.</w:t>
      </w:r>
    </w:p>
    <w:p>
      <w:pPr/>
      <w:r>
        <w:t>A mensagem de posicionamento é “Hablachat CRM organiza canais, equipe e acompanhamento com implantação assistida para o seu processo”. O argumento de completude deve ser demonstrado por requisitos e escopo. Não anunciar “o mais completo do mercado” como superioridade absoluta sem evidência comparativa atual.</w:t>
      </w:r>
    </w:p>
    <w:p>
      <w:pPr>
        <w:pStyle w:val="Heading1"/>
      </w:pPr>
      <w:r>
        <w:t>Comparação de mercado e escolha de preço</w:t>
      </w:r>
    </w:p>
    <w:p>
      <w:pPr/>
      <w:r>
        <w:t>O benchmark consultou páginas oficiais de 12 fornecedores em 03/10/2026. Oito ofertas foram normalizadas para uma operação com cinco usuários, atendimento compartilhado e automação relevante. A mediana foi R$ 817,79 por mês. O plano Completo de R$ 797 está 2,54% abaixo dessa mediana, permanecendo no centro da cesta. Os planos não são equivalentes em todos os recursos ou franquias; a comparação orienta posicionamento, não prova superioridade.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49"/>
        <w:gridCol w:w="4975"/>
        <w:gridCol w:w="2356"/>
      </w:tblGrid>
      <w:tr>
        <w:trPr>
          <w:tblHeader/>
        </w:trPr>
        <w:tc>
          <w:tcPr>
            <w:tcW w:type="dxa" w:w="2749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Oferta de referência</w:t>
            </w:r>
          </w:p>
        </w:tc>
        <w:tc>
          <w:tcPr>
            <w:tcW w:type="dxa" w:w="4975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Base do cálculo</w:t>
            </w:r>
          </w:p>
        </w:tc>
        <w:tc>
          <w:tcPr>
            <w:tcW w:type="dxa" w:w="2356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Equivalente mensal</w:t>
            </w:r>
          </w:p>
        </w:tc>
      </w:tr>
      <w:tr>
        <w:tc>
          <w:tcPr>
            <w:tcW w:type="dxa" w:w="2749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Crisp Essentials</w:t>
            </w:r>
          </w:p>
        </w:tc>
        <w:tc>
          <w:tcPr>
            <w:tcW w:type="dxa" w:w="497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US$ 95 por workspace com 10 assentos</w:t>
            </w:r>
          </w:p>
        </w:tc>
        <w:tc>
          <w:tcPr>
            <w:tcW w:type="dxa" w:w="235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R$ 496,26</w:t>
            </w:r>
          </w:p>
        </w:tc>
      </w:tr>
      <w:tr>
        <w:tc>
          <w:tcPr>
            <w:tcW w:type="dxa" w:w="2749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Zenvia Specialist</w:t>
            </w:r>
          </w:p>
        </w:tc>
        <w:tc>
          <w:tcPr>
            <w:tcW w:type="dxa" w:w="497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Lista R$ 600 mais pacote mínimo R$ 100</w:t>
            </w:r>
          </w:p>
        </w:tc>
        <w:tc>
          <w:tcPr>
            <w:tcW w:type="dxa" w:w="235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R$ 700,00</w:t>
            </w:r>
          </w:p>
        </w:tc>
      </w:tr>
      <w:tr>
        <w:tc>
          <w:tcPr>
            <w:tcW w:type="dxa" w:w="2749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Kommo Advanced</w:t>
            </w:r>
          </w:p>
        </w:tc>
        <w:tc>
          <w:tcPr>
            <w:tcW w:type="dxa" w:w="497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US$ 30 vezes 5 usuários</w:t>
            </w:r>
          </w:p>
        </w:tc>
        <w:tc>
          <w:tcPr>
            <w:tcW w:type="dxa" w:w="235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R$ 783,57</w:t>
            </w:r>
          </w:p>
        </w:tc>
      </w:tr>
      <w:tr>
        <w:tc>
          <w:tcPr>
            <w:tcW w:type="dxa" w:w="2749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JivoChat Profissional</w:t>
            </w:r>
          </w:p>
        </w:tc>
        <w:tc>
          <w:tcPr>
            <w:tcW w:type="dxa" w:w="497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R$ 126 vezes 5 mais WhatsApp R$ 175</w:t>
            </w:r>
          </w:p>
        </w:tc>
        <w:tc>
          <w:tcPr>
            <w:tcW w:type="dxa" w:w="235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R$ 805,00</w:t>
            </w:r>
          </w:p>
        </w:tc>
      </w:tr>
      <w:tr>
        <w:tc>
          <w:tcPr>
            <w:tcW w:type="dxa" w:w="2749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respond.io Growth</w:t>
            </w:r>
          </w:p>
        </w:tc>
        <w:tc>
          <w:tcPr>
            <w:tcW w:type="dxa" w:w="497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US$ 159 com 10 usuários</w:t>
            </w:r>
          </w:p>
        </w:tc>
        <w:tc>
          <w:tcPr>
            <w:tcW w:type="dxa" w:w="235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R$ 830,58</w:t>
            </w:r>
          </w:p>
        </w:tc>
      </w:tr>
      <w:tr>
        <w:tc>
          <w:tcPr>
            <w:tcW w:type="dxa" w:w="2749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Huggy Intermediate</w:t>
            </w:r>
          </w:p>
        </w:tc>
        <w:tc>
          <w:tcPr>
            <w:tcW w:type="dxa" w:w="497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R$ 579 mais 4 vezes R$ 119,90</w:t>
            </w:r>
          </w:p>
        </w:tc>
        <w:tc>
          <w:tcPr>
            <w:tcW w:type="dxa" w:w="235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R$ 1.058,60</w:t>
            </w:r>
          </w:p>
        </w:tc>
      </w:tr>
      <w:tr>
        <w:tc>
          <w:tcPr>
            <w:tcW w:type="dxa" w:w="2749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Freshchat Pro</w:t>
            </w:r>
          </w:p>
        </w:tc>
        <w:tc>
          <w:tcPr>
            <w:tcW w:type="dxa" w:w="497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US$ 49 vezes 5 agentes</w:t>
            </w:r>
          </w:p>
        </w:tc>
        <w:tc>
          <w:tcPr>
            <w:tcW w:type="dxa" w:w="235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R$ 1.279,83</w:t>
            </w:r>
          </w:p>
        </w:tc>
      </w:tr>
      <w:tr>
        <w:tc>
          <w:tcPr>
            <w:tcW w:type="dxa" w:w="2749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Intercom Advanced</w:t>
            </w:r>
          </w:p>
        </w:tc>
        <w:tc>
          <w:tcPr>
            <w:tcW w:type="dxa" w:w="497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US$ 85 vezes 5 assentos completos</w:t>
            </w:r>
          </w:p>
        </w:tc>
        <w:tc>
          <w:tcPr>
            <w:tcW w:type="dxa" w:w="235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R$ 2.220,12</w:t>
            </w:r>
          </w:p>
        </w:tc>
      </w:tr>
    </w:tbl>
    <w:p>
      <w:pPr>
        <w:spacing w:after="40"/>
      </w:pPr>
    </w:p>
    <w:p>
      <w:pPr/>
      <w:r>
        <w:t>Conversão analítica pela PTAX venda de R$ 5,2238 em 02/10/2026. A cesta utiliza condições anuais quando assim publicadas pelo fornecedor. Não inclui tributos, IOF, spread, implantação, tarifas Meta, consumo de IA nem excedentes. O total efetivo deve ser comparado na proposta. Blip e WATI ficam sob consulta; Manychat e Tidio são referências de automação e uso, fora da mediana por diferenças de escopo.</w:t>
      </w:r>
    </w:p>
    <w:p>
      <w:pPr/>
      <w:r>
        <w:t>As práticas públicas recorrentes são teste de 7 a 14 dias, desconto anual, cobrança por assento ou uso, implantação opcional e escalada de recursos por plano. A Hablachat melhora a clareza comercial ao separar os custos, mostrar critérios de aceite do piloto e explicar o que é documentado, habilitado na licença e efetivamente homologado. Não há evidência pública para afirmar como a maioria das equipes comerciais desses concorrentes trabalha internamente.</w:t>
      </w:r>
    </w:p>
    <w:p>
      <w:pPr>
        <w:pStyle w:val="Heading1"/>
      </w:pPr>
      <w:r>
        <w:t>Pacotes comerciais propostos</w:t>
      </w:r>
    </w:p>
    <w:p>
      <w:pPr/>
      <w:r>
        <w:t>Os números de usuários abaixo são embalagens comerciais propostas. Antes da oferta pública, confirmar se a licença white-label permite usuários nomeados ou simultâneos, módulos, canais e quotas correspondentes. A quantidade não é uma limitação técnica comprovada do AnyChat.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47"/>
        <w:gridCol w:w="1147"/>
        <w:gridCol w:w="1803"/>
        <w:gridCol w:w="5982"/>
      </w:tblGrid>
      <w:tr>
        <w:trPr>
          <w:tblHeader/>
        </w:trPr>
        <w:tc>
          <w:tcPr>
            <w:tcW w:type="dxa" w:w="1147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Plano</w:t>
            </w:r>
          </w:p>
        </w:tc>
        <w:tc>
          <w:tcPr>
            <w:tcW w:type="dxa" w:w="1147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Licença mensal</w:t>
            </w:r>
          </w:p>
        </w:tc>
        <w:tc>
          <w:tcPr>
            <w:tcW w:type="dxa" w:w="1803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Usuários de referência</w:t>
            </w:r>
          </w:p>
        </w:tc>
        <w:tc>
          <w:tcPr>
            <w:tcW w:type="dxa" w:w="5982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Perfil de implantação</w:t>
            </w:r>
          </w:p>
        </w:tc>
      </w:tr>
      <w:tr>
        <w:tc>
          <w:tcPr>
            <w:tcW w:type="dxa" w:w="114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Essencial</w:t>
            </w:r>
          </w:p>
        </w:tc>
        <w:tc>
          <w:tcPr>
            <w:tcW w:type="dxa" w:w="114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R$ 397</w:t>
            </w:r>
          </w:p>
        </w:tc>
        <w:tc>
          <w:tcPr>
            <w:tcW w:type="dxa" w:w="1803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5982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Uma jornada administrativa e entrada organizada</w:t>
            </w:r>
          </w:p>
        </w:tc>
      </w:tr>
      <w:tr>
        <w:tc>
          <w:tcPr>
            <w:tcW w:type="dxa" w:w="114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Completo</w:t>
            </w:r>
          </w:p>
        </w:tc>
        <w:tc>
          <w:tcPr>
            <w:tcW w:type="dxa" w:w="114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R$ 797</w:t>
            </w:r>
          </w:p>
        </w:tc>
        <w:tc>
          <w:tcPr>
            <w:tcW w:type="dxa" w:w="1803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5</w:t>
            </w:r>
          </w:p>
        </w:tc>
        <w:tc>
          <w:tcPr>
            <w:tcW w:type="dxa" w:w="5982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Departamentos e acompanhamento comercial com automação</w:t>
            </w:r>
          </w:p>
        </w:tc>
      </w:tr>
      <w:tr>
        <w:tc>
          <w:tcPr>
            <w:tcW w:type="dxa" w:w="114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Escala</w:t>
            </w:r>
          </w:p>
        </w:tc>
        <w:tc>
          <w:tcPr>
            <w:tcW w:type="dxa" w:w="114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R$ 1.297</w:t>
            </w:r>
          </w:p>
        </w:tc>
        <w:tc>
          <w:tcPr>
            <w:tcW w:type="dxa" w:w="1803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10</w:t>
            </w:r>
          </w:p>
        </w:tc>
        <w:tc>
          <w:tcPr>
            <w:tcW w:type="dxa" w:w="5982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Operação maior com múltiplas responsabilidades e homologação mais extensa</w:t>
            </w:r>
          </w:p>
        </w:tc>
      </w:tr>
    </w:tbl>
    <w:p>
      <w:pPr>
        <w:spacing w:after="40"/>
      </w:pPr>
    </w:p>
    <w:p>
      <w:pPr/>
      <w:r>
        <w:t>O Essencial prioriza widget, Inbox e registros básicos de contatos e tarefas. O Completo organiza departamentos, tickets, ChatFlow, respostas aprovadas e revisão de indicadores. O Escala amplia desenho, treinamento e testes de processos. Não prometer exclusividade de módulos por plano até confirmar a matriz contratual do AnyChat; a diferenciação inicial é de capacidade atendida, serviço e complexidade de implantação.</w:t>
      </w:r>
    </w:p>
    <w:p>
      <w:pPr>
        <w:pStyle w:val="Heading1"/>
      </w:pPr>
      <w:r>
        <w:t>Planos anuais e economia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295"/>
        <w:gridCol w:w="1757"/>
        <w:gridCol w:w="1295"/>
        <w:gridCol w:w="1480"/>
        <w:gridCol w:w="1942"/>
        <w:gridCol w:w="2312"/>
      </w:tblGrid>
      <w:tr>
        <w:trPr>
          <w:tblHeader/>
        </w:trPr>
        <w:tc>
          <w:tcPr>
            <w:tcW w:type="dxa" w:w="1295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Plano</w:t>
            </w:r>
          </w:p>
        </w:tc>
        <w:tc>
          <w:tcPr>
            <w:tcW w:type="dxa" w:w="1757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Mensal por 12 meses</w:t>
            </w:r>
          </w:p>
        </w:tc>
        <w:tc>
          <w:tcPr>
            <w:tcW w:type="dxa" w:w="1295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Anual à vista</w:t>
            </w:r>
          </w:p>
        </w:tc>
        <w:tc>
          <w:tcPr>
            <w:tcW w:type="dxa" w:w="1480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Economia à vista</w:t>
            </w:r>
          </w:p>
        </w:tc>
        <w:tc>
          <w:tcPr>
            <w:tcW w:type="dxa" w:w="1942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Anual parcelado total</w:t>
            </w:r>
          </w:p>
        </w:tc>
        <w:tc>
          <w:tcPr>
            <w:tcW w:type="dxa" w:w="2312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12 parcelas de referência</w:t>
            </w:r>
          </w:p>
        </w:tc>
      </w:tr>
      <w:tr>
        <w:tc>
          <w:tcPr>
            <w:tcW w:type="dxa" w:w="129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Essencial</w:t>
            </w:r>
          </w:p>
        </w:tc>
        <w:tc>
          <w:tcPr>
            <w:tcW w:type="dxa" w:w="175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R$ 4.764</w:t>
            </w:r>
          </w:p>
        </w:tc>
        <w:tc>
          <w:tcPr>
            <w:tcW w:type="dxa" w:w="129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R$ 3.970</w:t>
            </w:r>
          </w:p>
        </w:tc>
        <w:tc>
          <w:tcPr>
            <w:tcW w:type="dxa" w:w="14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R$ 794</w:t>
            </w:r>
          </w:p>
        </w:tc>
        <w:tc>
          <w:tcPr>
            <w:tcW w:type="dxa" w:w="1942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R$ 4.367</w:t>
            </w:r>
          </w:p>
        </w:tc>
        <w:tc>
          <w:tcPr>
            <w:tcW w:type="dxa" w:w="2312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R$ 363,92</w:t>
            </w:r>
          </w:p>
        </w:tc>
      </w:tr>
      <w:tr>
        <w:tc>
          <w:tcPr>
            <w:tcW w:type="dxa" w:w="129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Completo</w:t>
            </w:r>
          </w:p>
        </w:tc>
        <w:tc>
          <w:tcPr>
            <w:tcW w:type="dxa" w:w="175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R$ 9.564</w:t>
            </w:r>
          </w:p>
        </w:tc>
        <w:tc>
          <w:tcPr>
            <w:tcW w:type="dxa" w:w="129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R$ 7.970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R$ 1.594</w:t>
            </w:r>
          </w:p>
        </w:tc>
        <w:tc>
          <w:tcPr>
            <w:tcW w:type="dxa" w:w="1942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R$ 8.767</w:t>
            </w:r>
          </w:p>
        </w:tc>
        <w:tc>
          <w:tcPr>
            <w:tcW w:type="dxa" w:w="2312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R$ 730,58</w:t>
            </w:r>
          </w:p>
        </w:tc>
      </w:tr>
      <w:tr>
        <w:tc>
          <w:tcPr>
            <w:tcW w:type="dxa" w:w="129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Escala</w:t>
            </w:r>
          </w:p>
        </w:tc>
        <w:tc>
          <w:tcPr>
            <w:tcW w:type="dxa" w:w="175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R$ 15.564</w:t>
            </w:r>
          </w:p>
        </w:tc>
        <w:tc>
          <w:tcPr>
            <w:tcW w:type="dxa" w:w="129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R$ 12.970</w:t>
            </w:r>
          </w:p>
        </w:tc>
        <w:tc>
          <w:tcPr>
            <w:tcW w:type="dxa" w:w="14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R$ 2.594</w:t>
            </w:r>
          </w:p>
        </w:tc>
        <w:tc>
          <w:tcPr>
            <w:tcW w:type="dxa" w:w="1942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R$ 14.267</w:t>
            </w:r>
          </w:p>
        </w:tc>
        <w:tc>
          <w:tcPr>
            <w:tcW w:type="dxa" w:w="2312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R$ 1.188,92</w:t>
            </w:r>
          </w:p>
        </w:tc>
      </w:tr>
    </w:tbl>
    <w:p>
      <w:pPr>
        <w:spacing w:after="40"/>
      </w:pPr>
    </w:p>
    <w:p>
      <w:pPr/>
      <w:r>
        <w:t>Anual à vista equivale a dez mensalidades de lista e economiza 16,67%. Anual parcelado equivale a onze mensalidades e economiza 8,33%, com compromisso de 12 meses. As parcelas exibidas são arredondadas: ajustar a última em centavos para preservar o total contratual. Implantação, adaptação vertical e custos de terceiros não recebem automaticamente esse desconto.</w:t>
      </w:r>
    </w:p>
    <w:p>
      <w:pPr/>
      <w:r>
        <w:t>Benefícios anuais sugeridos sem promessa de suporte ilimitado: calendário de revisão da jornada em D30, D90 e D180; preservação do preço da licença no primeiro ciclo de 12 meses; planejamento antecipado da renovação. Confirmar capacidade e regra contratual antes de incluir. Não prometer cancelamento sem multa para um contrato anual se essa condição não estiver aprovada.</w:t>
      </w:r>
    </w:p>
    <w:p>
      <w:pPr>
        <w:pStyle w:val="Heading1"/>
      </w:pPr>
      <w:r>
        <w:t>Implantação e adaptação por ramo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44"/>
        <w:gridCol w:w="2045"/>
        <w:gridCol w:w="2045"/>
        <w:gridCol w:w="2045"/>
      </w:tblGrid>
      <w:tr>
        <w:trPr>
          <w:tblHeader/>
        </w:trPr>
        <w:tc>
          <w:tcPr>
            <w:tcW w:type="dxa" w:w="3944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Serviço</w:t>
            </w:r>
          </w:p>
        </w:tc>
        <w:tc>
          <w:tcPr>
            <w:tcW w:type="dxa" w:w="2045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Essencial</w:t>
            </w:r>
          </w:p>
        </w:tc>
        <w:tc>
          <w:tcPr>
            <w:tcW w:type="dxa" w:w="2045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Completo</w:t>
            </w:r>
          </w:p>
        </w:tc>
        <w:tc>
          <w:tcPr>
            <w:tcW w:type="dxa" w:w="2045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Escala</w:t>
            </w:r>
          </w:p>
        </w:tc>
      </w:tr>
      <w:tr>
        <w:tc>
          <w:tcPr>
            <w:tcW w:type="dxa" w:w="394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Implantação assistida</w:t>
            </w:r>
          </w:p>
        </w:tc>
        <w:tc>
          <w:tcPr>
            <w:tcW w:type="dxa" w:w="204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R$ 1.490</w:t>
            </w:r>
          </w:p>
        </w:tc>
        <w:tc>
          <w:tcPr>
            <w:tcW w:type="dxa" w:w="204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R$ 2.490</w:t>
            </w:r>
          </w:p>
        </w:tc>
        <w:tc>
          <w:tcPr>
            <w:tcW w:type="dxa" w:w="204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R$ 3.990</w:t>
            </w:r>
          </w:p>
        </w:tc>
      </w:tr>
      <w:tr>
        <w:tc>
          <w:tcPr>
            <w:tcW w:type="dxa" w:w="394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Horas incluídas de trabalho</w:t>
            </w:r>
          </w:p>
        </w:tc>
        <w:tc>
          <w:tcPr>
            <w:tcW w:type="dxa" w:w="204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4 h</w:t>
            </w:r>
          </w:p>
        </w:tc>
        <w:tc>
          <w:tcPr>
            <w:tcW w:type="dxa" w:w="204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8 h</w:t>
            </w:r>
          </w:p>
        </w:tc>
        <w:tc>
          <w:tcPr>
            <w:tcW w:type="dxa" w:w="204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16 h</w:t>
            </w:r>
          </w:p>
        </w:tc>
      </w:tr>
      <w:tr>
        <w:tc>
          <w:tcPr>
            <w:tcW w:type="dxa" w:w="394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Janela de acompanhamento</w:t>
            </w:r>
          </w:p>
        </w:tc>
        <w:tc>
          <w:tcPr>
            <w:tcW w:type="dxa" w:w="204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30 dias</w:t>
            </w:r>
          </w:p>
        </w:tc>
        <w:tc>
          <w:tcPr>
            <w:tcW w:type="dxa" w:w="204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45 dias</w:t>
            </w:r>
          </w:p>
        </w:tc>
        <w:tc>
          <w:tcPr>
            <w:tcW w:type="dxa" w:w="204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60 dias</w:t>
            </w:r>
          </w:p>
        </w:tc>
      </w:tr>
      <w:tr>
        <w:tc>
          <w:tcPr>
            <w:tcW w:type="dxa" w:w="394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Adaptação ao nicho opcional</w:t>
            </w:r>
          </w:p>
        </w:tc>
        <w:tc>
          <w:tcPr>
            <w:tcW w:type="dxa" w:w="204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R$ 790</w:t>
            </w:r>
          </w:p>
        </w:tc>
        <w:tc>
          <w:tcPr>
            <w:tcW w:type="dxa" w:w="204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R$ 1.490</w:t>
            </w:r>
          </w:p>
        </w:tc>
        <w:tc>
          <w:tcPr>
            <w:tcW w:type="dxa" w:w="204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R$ 2.490</w:t>
            </w:r>
          </w:p>
        </w:tc>
      </w:tr>
    </w:tbl>
    <w:p>
      <w:pPr>
        <w:spacing w:after="40"/>
      </w:pPr>
    </w:p>
    <w:p>
      <w:pPr/>
      <w:r>
        <w:t>Implantação inclui kickoff, organização de usuários e departamentos, uma jornada priorizada, orientação sobre widget e horário, treinamento e teste de aceite dentro das horas contratadas. A janela de acompanhamento permite agendar as horas incluídas; não representa dedicação diária nem horas ilimitadas. Aprovações de Meta, acesso do cliente e sistemas de terceiros podem alterar o calendário.</w:t>
      </w:r>
    </w:p>
    <w:p>
      <w:pPr/>
      <w:r>
        <w:t>Adaptação ao nicho inclui mapa do processo, campos mínimos, biblioteca inicial de até 10 respostas aprovadas e uma cadência de acompanhamento por jornada no Essencial; até 20 respostas e duas cadências no Completo; até 30 respostas e três cadências no Escala. Cada biblioteca exige aprovação do cliente. Integração externa, migração extensa, parecer profissional e desenvolvimento sob medida são projetos separados, com orçamento e aceite próprios.</w:t>
      </w:r>
    </w:p>
    <w:p>
      <w:pPr/>
      <w:r>
        <w:t>Exemplo Completo anual à vista com implantação e adaptação: R$ 7.970 + R$ 2.490 + R$ 1.490 = R$ 11.950 no primeiro ano, antes de terceiros. No mensal com os mesmos serviços: R$ 9.564 + R$ 2.490 + R$ 1.490 = R$ 13.544. O anual economiza R$ 1.594 na licença; não altera as taxas de consumo dos canais.</w:t>
      </w:r>
    </w:p>
    <w:p>
      <w:pPr>
        <w:pStyle w:val="Heading1"/>
      </w:pPr>
      <w:r>
        <w:t>Aprovação financeira e margem</w:t>
      </w:r>
    </w:p>
    <w:p>
      <w:pPr/>
      <w:r>
        <w:t>Validar licença AnyChat, infraestrutura, atendimento, tarifas de pagamento, horas técnicas, tributos sobre receita e custo dos parceiros antes de publicar os preços. O piso de margem bruta de planejamento é 65%, com a mesma definição contábil em todos os planos. Margem de contribuição e CAC precisam ser acompanhados separadamente.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95"/>
        <w:gridCol w:w="3293"/>
        <w:gridCol w:w="4491"/>
      </w:tblGrid>
      <w:tr>
        <w:trPr>
          <w:tblHeader/>
        </w:trPr>
        <w:tc>
          <w:tcPr>
            <w:tcW w:type="dxa" w:w="2295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Plano e modalidade</w:t>
            </w:r>
          </w:p>
        </w:tc>
        <w:tc>
          <w:tcPr>
            <w:tcW w:type="dxa" w:w="3293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Receita efetiva mensal da licença</w:t>
            </w:r>
          </w:p>
        </w:tc>
        <w:tc>
          <w:tcPr>
            <w:tcW w:type="dxa" w:w="4491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Teto de custo direto para margem bruta de 65%</w:t>
            </w:r>
          </w:p>
        </w:tc>
      </w:tr>
      <w:tr>
        <w:tc>
          <w:tcPr>
            <w:tcW w:type="dxa" w:w="229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Essencial mensal</w:t>
            </w:r>
          </w:p>
        </w:tc>
        <w:tc>
          <w:tcPr>
            <w:tcW w:type="dxa" w:w="3293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R$ 397,00</w:t>
            </w:r>
          </w:p>
        </w:tc>
        <w:tc>
          <w:tcPr>
            <w:tcW w:type="dxa" w:w="449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R$ 138,95</w:t>
            </w:r>
          </w:p>
        </w:tc>
      </w:tr>
      <w:tr>
        <w:tc>
          <w:tcPr>
            <w:tcW w:type="dxa" w:w="229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Completo mensal</w:t>
            </w:r>
          </w:p>
        </w:tc>
        <w:tc>
          <w:tcPr>
            <w:tcW w:type="dxa" w:w="3293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R$ 797,00</w:t>
            </w:r>
          </w:p>
        </w:tc>
        <w:tc>
          <w:tcPr>
            <w:tcW w:type="dxa" w:w="4491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R$ 278,95</w:t>
            </w:r>
          </w:p>
        </w:tc>
      </w:tr>
      <w:tr>
        <w:tc>
          <w:tcPr>
            <w:tcW w:type="dxa" w:w="229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Escala mensal</w:t>
            </w:r>
          </w:p>
        </w:tc>
        <w:tc>
          <w:tcPr>
            <w:tcW w:type="dxa" w:w="3293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R$ 1.297,00</w:t>
            </w:r>
          </w:p>
        </w:tc>
        <w:tc>
          <w:tcPr>
            <w:tcW w:type="dxa" w:w="449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R$ 453,95</w:t>
            </w:r>
          </w:p>
        </w:tc>
      </w:tr>
      <w:tr>
        <w:tc>
          <w:tcPr>
            <w:tcW w:type="dxa" w:w="229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Essencial anual à vista</w:t>
            </w:r>
          </w:p>
        </w:tc>
        <w:tc>
          <w:tcPr>
            <w:tcW w:type="dxa" w:w="3293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R$ 330,83</w:t>
            </w:r>
          </w:p>
        </w:tc>
        <w:tc>
          <w:tcPr>
            <w:tcW w:type="dxa" w:w="4491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R$ 115,79</w:t>
            </w:r>
          </w:p>
        </w:tc>
      </w:tr>
      <w:tr>
        <w:tc>
          <w:tcPr>
            <w:tcW w:type="dxa" w:w="229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Completo anual à vista</w:t>
            </w:r>
          </w:p>
        </w:tc>
        <w:tc>
          <w:tcPr>
            <w:tcW w:type="dxa" w:w="3293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R$ 664,17</w:t>
            </w:r>
          </w:p>
        </w:tc>
        <w:tc>
          <w:tcPr>
            <w:tcW w:type="dxa" w:w="449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R$ 232,46</w:t>
            </w:r>
          </w:p>
        </w:tc>
      </w:tr>
      <w:tr>
        <w:tc>
          <w:tcPr>
            <w:tcW w:type="dxa" w:w="229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Escala anual à vista</w:t>
            </w:r>
          </w:p>
        </w:tc>
        <w:tc>
          <w:tcPr>
            <w:tcW w:type="dxa" w:w="3293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R$ 1.080,83</w:t>
            </w:r>
          </w:p>
        </w:tc>
        <w:tc>
          <w:tcPr>
            <w:tcW w:type="dxa" w:w="4491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R$ 378,29</w:t>
            </w:r>
          </w:p>
        </w:tc>
      </w:tr>
    </w:tbl>
    <w:p>
      <w:pPr>
        <w:spacing w:after="40"/>
      </w:pPr>
    </w:p>
    <w:p>
      <w:pPr/>
      <w:r>
        <w:t>Fórmula de margem bruta: receita menos custos diretos, dividida pela receita. Se o custo superar o teto, reduzir escopo, cobrar excedente claramente definido ou revisar o preço; não compensar com uma promessa de escala futura. Reavaliar após 10 propostas e 5 implantações concluídas.</w:t>
      </w:r>
    </w:p>
    <w:p>
      <w:pPr/>
      <w:r>
        <w:t>Custos Meta/BSP, IA por uso, telefonia, e-mail transacional, licenças de terceiros e desenvolvimento não estão incluídos nos valores de licença. A proposta deve identificar o responsável pela contratação, franquia, excedente, reajuste e tributação. Não anunciar mensagens ou integrações ilimitadas.</w:t>
      </w:r>
    </w:p>
    <w:p>
      <w:pPr>
        <w:pStyle w:val="Heading1"/>
      </w:pPr>
      <w:r>
        <w:t>Organização dos responsáveis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712"/>
        <w:gridCol w:w="2377"/>
        <w:gridCol w:w="5991"/>
      </w:tblGrid>
      <w:tr>
        <w:trPr>
          <w:tblHeader/>
        </w:trPr>
        <w:tc>
          <w:tcPr>
            <w:tcW w:type="dxa" w:w="1712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Responsável</w:t>
            </w:r>
          </w:p>
        </w:tc>
        <w:tc>
          <w:tcPr>
            <w:tcW w:type="dxa" w:w="2377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Carteira prioritária</w:t>
            </w:r>
          </w:p>
        </w:tc>
        <w:tc>
          <w:tcPr>
            <w:tcW w:type="dxa" w:w="5991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Responsabilidade adicional</w:t>
            </w:r>
          </w:p>
        </w:tc>
      </w:tr>
      <w:tr>
        <w:tc>
          <w:tcPr>
            <w:tcW w:type="dxa" w:w="1712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Vendedor 1</w:t>
            </w:r>
          </w:p>
        </w:tc>
        <w:tc>
          <w:tcPr>
            <w:tcW w:type="dxa" w:w="237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Odontologia e estética</w:t>
            </w:r>
          </w:p>
        </w:tc>
        <w:tc>
          <w:tcPr>
            <w:tcW w:type="dxa" w:w="599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Biblioteca de objeções de clínicas</w:t>
            </w:r>
          </w:p>
        </w:tc>
      </w:tr>
      <w:tr>
        <w:tc>
          <w:tcPr>
            <w:tcW w:type="dxa" w:w="1712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Vendedor 2</w:t>
            </w:r>
          </w:p>
        </w:tc>
        <w:tc>
          <w:tcPr>
            <w:tcW w:type="dxa" w:w="237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Advocacia e contabilidade</w:t>
            </w:r>
          </w:p>
        </w:tc>
        <w:tc>
          <w:tcPr>
            <w:tcW w:type="dxa" w:w="5991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Revisão de mensagens institucionais e inbound em rodízio</w:t>
            </w:r>
          </w:p>
        </w:tc>
      </w:tr>
      <w:tr>
        <w:tc>
          <w:tcPr>
            <w:tcW w:type="dxa" w:w="1712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Vendedor 3</w:t>
            </w:r>
          </w:p>
        </w:tc>
        <w:tc>
          <w:tcPr>
            <w:tcW w:type="dxa" w:w="237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Imobiliárias</w:t>
            </w:r>
          </w:p>
        </w:tc>
        <w:tc>
          <w:tcPr>
            <w:tcW w:type="dxa" w:w="599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Programa de parceiros e distribuição de leads</w:t>
            </w:r>
          </w:p>
        </w:tc>
      </w:tr>
      <w:tr>
        <w:tc>
          <w:tcPr>
            <w:tcW w:type="dxa" w:w="1712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Atlas agente de IA</w:t>
            </w:r>
          </w:p>
        </w:tc>
        <w:tc>
          <w:tcPr>
            <w:tcW w:type="dxa" w:w="237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Mercado e evidências</w:t>
            </w:r>
          </w:p>
        </w:tc>
        <w:tc>
          <w:tcPr>
            <w:tcW w:type="dxa" w:w="5991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Pesquisa de contas e comparação competitiva</w:t>
            </w:r>
          </w:p>
        </w:tc>
      </w:tr>
      <w:tr>
        <w:tc>
          <w:tcPr>
            <w:tcW w:type="dxa" w:w="1712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Luma agente de IA</w:t>
            </w:r>
          </w:p>
        </w:tc>
        <w:tc>
          <w:tcPr>
            <w:tcW w:type="dxa" w:w="237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Conteúdo e redes sociais</w:t>
            </w:r>
          </w:p>
        </w:tc>
        <w:tc>
          <w:tcPr>
            <w:tcW w:type="dxa" w:w="599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Rascunhos de posts, vídeos, lives e peças de parceiros</w:t>
            </w:r>
          </w:p>
        </w:tc>
      </w:tr>
      <w:tr>
        <w:tc>
          <w:tcPr>
            <w:tcW w:type="dxa" w:w="1712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Gestor comercial</w:t>
            </w:r>
          </w:p>
        </w:tc>
        <w:tc>
          <w:tcPr>
            <w:tcW w:type="dxa" w:w="237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Todas as carteiras</w:t>
            </w:r>
          </w:p>
        </w:tc>
        <w:tc>
          <w:tcPr>
            <w:tcW w:type="dxa" w:w="5991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Aprovação de preço, previsão de vendas, coaching e distribuição</w:t>
            </w:r>
          </w:p>
        </w:tc>
      </w:tr>
    </w:tbl>
    <w:p>
      <w:pPr>
        <w:spacing w:after="40"/>
      </w:pPr>
    </w:p>
    <w:p>
      <w:pPr/>
      <w:r>
        <w:t>Os três vendedores são responsáveis por prospecção, diagnóstico, demonstração, proposta e transferência de contexto. O atendimento inbound opera em rodízio diário com substituto definido. Atlas e Luma são os dois agentes operacionais planejados; Hermes é o orquestrador supervisionado proposto, não uma equipe adicional já instalada. Engenharia, financeiro, responsável técnico e suporte entram por função, com horas de capacidade a confirmar.</w:t>
      </w:r>
    </w:p>
    <w:p>
      <w:pPr>
        <w:pStyle w:val="Heading1"/>
      </w:pPr>
      <w:r>
        <w:t>Fontes para decisão de preço</w:t>
      </w:r>
    </w:p>
    <w:p>
      <w:pPr>
        <w:pStyle w:val="ListBullet"/>
      </w:pPr>
      <w:r>
        <w:t xml:space="preserve">PTAX Banco Central </w:t>
      </w:r>
      <w:hyperlink r:id="rId10">
        <w:r>
          <w:rPr>
            <w:color w:val="0563C1"/>
          </w:rPr>
          <w:t>https://ptax.bcb.gov.br/ptax_internet/consultarUltimaCotacaoDolar.do</w:t>
        </w:r>
      </w:hyperlink>
      <w:r/>
    </w:p>
    <w:p>
      <w:pPr>
        <w:pStyle w:val="ListBullet"/>
      </w:pPr>
      <w:r>
        <w:t xml:space="preserve">Crisp </w:t>
      </w:r>
      <w:hyperlink r:id="rId11">
        <w:r>
          <w:rPr>
            <w:color w:val="0563C1"/>
          </w:rPr>
          <w:t>https://crisp.chat/en/pricing/</w:t>
        </w:r>
      </w:hyperlink>
      <w:r/>
    </w:p>
    <w:p>
      <w:pPr>
        <w:pStyle w:val="ListBullet"/>
      </w:pPr>
      <w:r>
        <w:t xml:space="preserve">Zenvia </w:t>
      </w:r>
      <w:hyperlink r:id="rId12">
        <w:r>
          <w:rPr>
            <w:color w:val="0563C1"/>
          </w:rPr>
          <w:t>https://zenvia.com/precos/</w:t>
        </w:r>
      </w:hyperlink>
      <w:r/>
    </w:p>
    <w:p>
      <w:pPr>
        <w:pStyle w:val="ListBullet"/>
      </w:pPr>
      <w:r>
        <w:t xml:space="preserve">Kommo </w:t>
      </w:r>
      <w:hyperlink r:id="rId13">
        <w:r>
          <w:rPr>
            <w:color w:val="0563C1"/>
          </w:rPr>
          <w:t>https://www.kommo.com/br/precos/compare-planos/</w:t>
        </w:r>
      </w:hyperlink>
      <w:r/>
    </w:p>
    <w:p>
      <w:pPr>
        <w:pStyle w:val="ListBullet"/>
      </w:pPr>
      <w:r>
        <w:t xml:space="preserve">JivoChat </w:t>
      </w:r>
      <w:hyperlink r:id="rId14">
        <w:r>
          <w:rPr>
            <w:color w:val="0563C1"/>
          </w:rPr>
          <w:t>https://www.jivochat.com.br/pricing/</w:t>
        </w:r>
      </w:hyperlink>
      <w:r/>
    </w:p>
    <w:p>
      <w:pPr>
        <w:pStyle w:val="ListBullet"/>
      </w:pPr>
      <w:r>
        <w:t xml:space="preserve">respond.io </w:t>
      </w:r>
      <w:hyperlink r:id="rId15">
        <w:r>
          <w:rPr>
            <w:color w:val="0563C1"/>
          </w:rPr>
          <w:t>https://respond.io/pricing</w:t>
        </w:r>
      </w:hyperlink>
      <w:r/>
    </w:p>
    <w:p>
      <w:pPr>
        <w:pStyle w:val="ListBullet"/>
      </w:pPr>
      <w:r>
        <w:t xml:space="preserve">Huggy </w:t>
      </w:r>
      <w:hyperlink r:id="rId16">
        <w:r>
          <w:rPr>
            <w:color w:val="0563C1"/>
          </w:rPr>
          <w:t>https://www.huggy.io/en/pricing</w:t>
        </w:r>
      </w:hyperlink>
      <w:r/>
    </w:p>
    <w:p>
      <w:pPr>
        <w:pStyle w:val="ListBullet"/>
      </w:pPr>
      <w:r>
        <w:t xml:space="preserve">Freshchat </w:t>
      </w:r>
      <w:hyperlink r:id="rId17">
        <w:r>
          <w:rPr>
            <w:color w:val="0563C1"/>
          </w:rPr>
          <w:t>https://www.freshworks.com/live-chat-software/pricing/</w:t>
        </w:r>
      </w:hyperlink>
      <w:r/>
    </w:p>
    <w:p>
      <w:pPr>
        <w:pStyle w:val="ListBullet"/>
      </w:pPr>
      <w:r>
        <w:t xml:space="preserve">Intercom </w:t>
      </w:r>
      <w:hyperlink r:id="rId18">
        <w:r>
          <w:rPr>
            <w:color w:val="0563C1"/>
          </w:rPr>
          <w:t>https://www.intercom.com/pricing</w:t>
        </w:r>
      </w:hyperlink>
      <w:r/>
    </w:p>
    <w:p>
      <w:pPr>
        <w:pStyle w:val="ListBullet"/>
      </w:pPr>
      <w:r>
        <w:t xml:space="preserve">Blip </w:t>
      </w:r>
      <w:hyperlink r:id="rId19">
        <w:r>
          <w:rPr>
            <w:color w:val="0563C1"/>
          </w:rPr>
          <w:t>https://www.blip.ai/en/pricing/</w:t>
        </w:r>
      </w:hyperlink>
      <w:r/>
    </w:p>
    <w:p>
      <w:pPr>
        <w:pStyle w:val="ListBullet"/>
      </w:pPr>
      <w:r>
        <w:t xml:space="preserve">WATI </w:t>
      </w:r>
      <w:hyperlink r:id="rId20">
        <w:r>
          <w:rPr>
            <w:color w:val="0563C1"/>
          </w:rPr>
          <w:t>https://support.wati.io/pt-BR/articles/11462993-entendendo-a-estrutura-de-precos-da-wati</w:t>
        </w:r>
      </w:hyperlink>
      <w:r/>
    </w:p>
    <w:p>
      <w:pPr>
        <w:pStyle w:val="ListBullet"/>
      </w:pPr>
      <w:r>
        <w:t xml:space="preserve">Manychat </w:t>
      </w:r>
      <w:hyperlink r:id="rId21">
        <w:r>
          <w:rPr>
            <w:color w:val="0563C1"/>
          </w:rPr>
          <w:t>https://manychat.com/pricing</w:t>
        </w:r>
      </w:hyperlink>
      <w:r/>
    </w:p>
    <w:p>
      <w:pPr>
        <w:pStyle w:val="ListBullet"/>
      </w:pPr>
      <w:r>
        <w:t xml:space="preserve">Tidio </w:t>
      </w:r>
      <w:hyperlink r:id="rId22">
        <w:r>
          <w:rPr>
            <w:color w:val="0563C1"/>
          </w:rPr>
          <w:t>https://www.tidio.com/pricing/</w:t>
        </w:r>
      </w:hyperlink>
      <w:r/>
    </w:p>
    <w:p>
      <w:pPr>
        <w:pStyle w:val="ListBullet"/>
      </w:pPr>
      <w:r>
        <w:t xml:space="preserve">AnyChat </w:t>
      </w:r>
      <w:hyperlink r:id="rId23">
        <w:r>
          <w:rPr>
            <w:color w:val="0563C1"/>
          </w:rPr>
          <w:t>https://docs.anychat.one/</w:t>
        </w:r>
      </w:hyperlink>
      <w:r>
        <w:t xml:space="preserve"> e </w:t>
      </w:r>
      <w:hyperlink r:id="rId24">
        <w:r>
          <w:rPr>
            <w:color w:val="0563C1"/>
          </w:rPr>
          <w:t>https://anychat.one/resources/api</w:t>
        </w:r>
      </w:hyperlink>
      <w:r/>
    </w:p>
    <w:p>
      <w:pPr/>
      <w:r>
        <w:t>As fontes foram consultadas no benchmark em 03/10/2026. Revalidar preços e condições antes de cada campanha comparativa.</w:t>
      </w:r>
    </w:p>
    <w:p>
      <w:pPr>
        <w:pStyle w:val="Heading1"/>
      </w:pPr>
      <w:r>
        <w:t>Metas e calendário de implantação comercial</w:t>
      </w:r>
    </w:p>
    <w:p>
      <w:pPr>
        <w:pStyle w:val="Heading1"/>
      </w:pPr>
      <w:r>
        <w:t>Matemática do funil</w:t>
      </w:r>
    </w:p>
    <w:p>
      <w:pPr/>
      <w:r>
        <w:t>Uma conta é uma empresa distinta, não cada contato ou tentativa. Uma conversa é uma resposta de duas vias; ligação sem atendimento não conta. SQL é uma oportunidade com perfil, dor, responsável e prazo minimamente confirmados. Propostas só entram depois de validar escopo e processo de decisão.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60"/>
        <w:gridCol w:w="1960"/>
        <w:gridCol w:w="1960"/>
        <w:gridCol w:w="2800"/>
      </w:tblGrid>
      <w:tr>
        <w:trPr>
          <w:tblHeader/>
        </w:trPr>
        <w:tc>
          <w:tcPr>
            <w:tcW w:type="dxa" w:w="3360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Passo do funil</w:t>
            </w:r>
          </w:p>
        </w:tc>
        <w:tc>
          <w:tcPr>
            <w:tcW w:type="dxa" w:w="1960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Taxa hipótese</w:t>
            </w:r>
          </w:p>
        </w:tc>
        <w:tc>
          <w:tcPr>
            <w:tcW w:type="dxa" w:w="1960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Equipe por mês</w:t>
            </w:r>
          </w:p>
        </w:tc>
        <w:tc>
          <w:tcPr>
            <w:tcW w:type="dxa" w:w="2800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Por vendedor por mês</w:t>
            </w:r>
          </w:p>
        </w:tc>
      </w:tr>
      <w:tr>
        <w:tc>
          <w:tcPr>
            <w:tcW w:type="dxa" w:w="336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Contas novas trabalhadas</w:t>
            </w:r>
          </w:p>
        </w:tc>
        <w:tc>
          <w:tcPr>
            <w:tcW w:type="dxa" w:w="196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Base</w:t>
            </w:r>
          </w:p>
        </w:tc>
        <w:tc>
          <w:tcPr>
            <w:tcW w:type="dxa" w:w="196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480</w:t>
            </w:r>
          </w:p>
        </w:tc>
        <w:tc>
          <w:tcPr>
            <w:tcW w:type="dxa" w:w="280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160</w:t>
            </w:r>
          </w:p>
        </w:tc>
      </w:tr>
      <w:tr>
        <w:tc>
          <w:tcPr>
            <w:tcW w:type="dxa" w:w="336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Conversas de duas vias</w:t>
            </w:r>
          </w:p>
        </w:tc>
        <w:tc>
          <w:tcPr>
            <w:tcW w:type="dxa" w:w="196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18%</w:t>
            </w:r>
          </w:p>
        </w:tc>
        <w:tc>
          <w:tcPr>
            <w:tcW w:type="dxa" w:w="196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86,4</w:t>
            </w:r>
          </w:p>
        </w:tc>
        <w:tc>
          <w:tcPr>
            <w:tcW w:type="dxa" w:w="280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28,8</w:t>
            </w:r>
          </w:p>
        </w:tc>
      </w:tr>
      <w:tr>
        <w:tc>
          <w:tcPr>
            <w:tcW w:type="dxa" w:w="336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Reuniões marcadas</w:t>
            </w:r>
          </w:p>
        </w:tc>
        <w:tc>
          <w:tcPr>
            <w:tcW w:type="dxa" w:w="196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55%</w:t>
            </w:r>
          </w:p>
        </w:tc>
        <w:tc>
          <w:tcPr>
            <w:tcW w:type="dxa" w:w="196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47,5</w:t>
            </w:r>
          </w:p>
        </w:tc>
        <w:tc>
          <w:tcPr>
            <w:tcW w:type="dxa" w:w="280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15,8</w:t>
            </w:r>
          </w:p>
        </w:tc>
      </w:tr>
      <w:tr>
        <w:tc>
          <w:tcPr>
            <w:tcW w:type="dxa" w:w="336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Reuniões realizadas</w:t>
            </w:r>
          </w:p>
        </w:tc>
        <w:tc>
          <w:tcPr>
            <w:tcW w:type="dxa" w:w="196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75%</w:t>
            </w:r>
          </w:p>
        </w:tc>
        <w:tc>
          <w:tcPr>
            <w:tcW w:type="dxa" w:w="196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35,6</w:t>
            </w:r>
          </w:p>
        </w:tc>
        <w:tc>
          <w:tcPr>
            <w:tcW w:type="dxa" w:w="280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11,9</w:t>
            </w:r>
          </w:p>
        </w:tc>
      </w:tr>
      <w:tr>
        <w:tc>
          <w:tcPr>
            <w:tcW w:type="dxa" w:w="336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Oportunidades SQL</w:t>
            </w:r>
          </w:p>
        </w:tc>
        <w:tc>
          <w:tcPr>
            <w:tcW w:type="dxa" w:w="196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70%</w:t>
            </w:r>
          </w:p>
        </w:tc>
        <w:tc>
          <w:tcPr>
            <w:tcW w:type="dxa" w:w="196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24,9</w:t>
            </w:r>
          </w:p>
        </w:tc>
        <w:tc>
          <w:tcPr>
            <w:tcW w:type="dxa" w:w="280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8,3</w:t>
            </w:r>
          </w:p>
        </w:tc>
      </w:tr>
      <w:tr>
        <w:tc>
          <w:tcPr>
            <w:tcW w:type="dxa" w:w="336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Propostas</w:t>
            </w:r>
          </w:p>
        </w:tc>
        <w:tc>
          <w:tcPr>
            <w:tcW w:type="dxa" w:w="196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70%</w:t>
            </w:r>
          </w:p>
        </w:tc>
        <w:tc>
          <w:tcPr>
            <w:tcW w:type="dxa" w:w="196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17,5</w:t>
            </w:r>
          </w:p>
        </w:tc>
        <w:tc>
          <w:tcPr>
            <w:tcW w:type="dxa" w:w="280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5,8</w:t>
            </w:r>
          </w:p>
        </w:tc>
      </w:tr>
      <w:tr>
        <w:tc>
          <w:tcPr>
            <w:tcW w:type="dxa" w:w="336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Ganhos</w:t>
            </w:r>
          </w:p>
        </w:tc>
        <w:tc>
          <w:tcPr>
            <w:tcW w:type="dxa" w:w="196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30%</w:t>
            </w:r>
          </w:p>
        </w:tc>
        <w:tc>
          <w:tcPr>
            <w:tcW w:type="dxa" w:w="196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5,24</w:t>
            </w:r>
          </w:p>
        </w:tc>
        <w:tc>
          <w:tcPr>
            <w:tcW w:type="dxa" w:w="280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1,75</w:t>
            </w:r>
          </w:p>
        </w:tc>
      </w:tr>
    </w:tbl>
    <w:p>
      <w:pPr>
        <w:spacing w:after="40"/>
      </w:pPr>
    </w:p>
    <w:p>
      <w:pPr/>
      <w:r>
        <w:t>Ganhos esperados = 480 × 0,18 × 0,55 × 0,75 × 0,70 × 0,70 × 0,30 = 5,23908. O resultado é expectativa estatística; a meta de fechamento deve usar contratos inteiros. Planejar cinco ganhos após a fase de aprendizagem, com seis como superação, mantendo qualidade e capacidade de atendimento.</w:t>
      </w:r>
    </w:p>
    <w:p>
      <w:pPr/>
      <w:r>
        <w:t>Mix de referência: 25% Essencial, 60% Completo e 15% Escala. ARPA de lista = 0,25 × 397 + 0,60 × 797 + 0,15 × 1.297 = R$ 772. Implantação ponderada = R$ 2.465. Adaptação opcional ponderada = R$ 1.465, quando todos os clientes a contratam; não contar essa receita como recorrente.</w:t>
      </w:r>
    </w:p>
    <w:p>
      <w:pPr/>
      <w:r>
        <w:t>O cenário de prazo usa 20% mensal, 20% anual parcelado e 60% anual à vista. Receita recorrente efetiva = R$ 772 × (0,20 + 0,20 × 11/12 + 0,60 × 10/12) = R$ 681,93 por cliente/mês. Os números de mix são hipóteses substituíveis por vendas observadas.</w:t>
      </w:r>
    </w:p>
    <w:p>
      <w:pPr/>
      <w:r>
        <w:t>O MRR de lista compara a carteira sem descontos. O MRR efetivo normaliza a licença contratada pelos meses de serviço. Caixa anual antecipado não é MRR nem receita integral reconhecida no primeiro mês. Implantação e adaptação são receitas não recorrentes, reconhecidas conforme entrega e orientação contábil.</w:t>
      </w:r>
    </w:p>
    <w:p>
      <w:pPr>
        <w:pStyle w:val="Heading1"/>
      </w:pPr>
      <w:r>
        <w:t>Produção diária semanal e mensal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75"/>
        <w:gridCol w:w="4052"/>
        <w:gridCol w:w="4052"/>
      </w:tblGrid>
      <w:tr>
        <w:trPr>
          <w:tblHeader/>
        </w:trPr>
        <w:tc>
          <w:tcPr>
            <w:tcW w:type="dxa" w:w="1975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Frequência</w:t>
            </w:r>
          </w:p>
        </w:tc>
        <w:tc>
          <w:tcPr>
            <w:tcW w:type="dxa" w:w="4052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Meta por vendedor</w:t>
            </w:r>
          </w:p>
        </w:tc>
        <w:tc>
          <w:tcPr>
            <w:tcW w:type="dxa" w:w="4052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Meta da equipe</w:t>
            </w:r>
          </w:p>
        </w:tc>
      </w:tr>
      <w:tr>
        <w:tc>
          <w:tcPr>
            <w:tcW w:type="dxa" w:w="197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Dia com 20 dias úteis de referência</w:t>
            </w:r>
          </w:p>
        </w:tc>
        <w:tc>
          <w:tcPr>
            <w:tcW w:type="dxa" w:w="4052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8 contas novas e 20 a 30 tentativas totais</w:t>
            </w:r>
          </w:p>
        </w:tc>
        <w:tc>
          <w:tcPr>
            <w:tcW w:type="dxa" w:w="4052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24 contas e 60 a 90 tentativas</w:t>
            </w:r>
          </w:p>
        </w:tc>
      </w:tr>
      <w:tr>
        <w:tc>
          <w:tcPr>
            <w:tcW w:type="dxa" w:w="197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Semana com quatro semanas de referência</w:t>
            </w:r>
          </w:p>
        </w:tc>
        <w:tc>
          <w:tcPr>
            <w:tcW w:type="dxa" w:w="4052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40 contas, 7 conversas, 4 reuniões marcadas e 3 realizadas</w:t>
            </w:r>
          </w:p>
        </w:tc>
        <w:tc>
          <w:tcPr>
            <w:tcW w:type="dxa" w:w="4052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120 contas, 22 conversas, 12 marcadas e 9 realizadas</w:t>
            </w:r>
          </w:p>
        </w:tc>
      </w:tr>
      <w:tr>
        <w:tc>
          <w:tcPr>
            <w:tcW w:type="dxa" w:w="197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Mês maduro</w:t>
            </w:r>
          </w:p>
        </w:tc>
        <w:tc>
          <w:tcPr>
            <w:tcW w:type="dxa" w:w="4052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160 contas, 29 conversas, 16 reuniões marcadas, 12 realizadas, 8 SQL e 6 propostas</w:t>
            </w:r>
          </w:p>
        </w:tc>
        <w:tc>
          <w:tcPr>
            <w:tcW w:type="dxa" w:w="4052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480 contas, 86 conversas, 48 marcadas, 36 realizadas, 25 SQL e 17 a 18 propostas</w:t>
            </w:r>
          </w:p>
        </w:tc>
      </w:tr>
      <w:tr>
        <w:tc>
          <w:tcPr>
            <w:tcW w:type="dxa" w:w="197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Fechamento mensal de referência</w:t>
            </w:r>
          </w:p>
        </w:tc>
        <w:tc>
          <w:tcPr>
            <w:tcW w:type="dxa" w:w="4052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 a 2 contratos, distribuídos pelo pipeline</w:t>
            </w:r>
          </w:p>
        </w:tc>
        <w:tc>
          <w:tcPr>
            <w:tcW w:type="dxa" w:w="4052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5 contratos base e 6 como superação</w:t>
            </w:r>
          </w:p>
        </w:tc>
      </w:tr>
    </w:tbl>
    <w:p>
      <w:pPr>
        <w:spacing w:after="40"/>
      </w:pPr>
    </w:p>
    <w:p>
      <w:pPr/>
      <w:r>
        <w:t>Os valores semanais e individuais são arredondamentos de gestão e não devem ser somados como uma segunda previsão. Ajustar metas de atividade pela quantidade real de dias úteis, férias e feriados. Não exigir fechamento diário: reuniões, negociação e decisão atravessam semanas.</w:t>
      </w:r>
    </w:p>
    <w:p>
      <w:pPr/>
      <w:r>
        <w:t>Para chegar a sete ganhos com as mesmas taxas, a equipe precisaria de aproximadamente 642 contas por mês. Outra possibilidade é melhorar proposta para ganho de 30% para cerca de 40,1%, mantendo as 480 contas. M10 a M12 só passam a sete após validar essa melhoria ou capacidade adicional; não presumir sete mantendo o funil inalterado.</w:t>
      </w:r>
    </w:p>
    <w:p>
      <w:pPr>
        <w:pStyle w:val="Heading1"/>
      </w:pPr>
      <w:r>
        <w:t>Rotina de trabalho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534"/>
        <w:gridCol w:w="4163"/>
        <w:gridCol w:w="4383"/>
      </w:tblGrid>
      <w:tr>
        <w:trPr>
          <w:tblHeader/>
        </w:trPr>
        <w:tc>
          <w:tcPr>
            <w:tcW w:type="dxa" w:w="1534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Horário</w:t>
            </w:r>
          </w:p>
        </w:tc>
        <w:tc>
          <w:tcPr>
            <w:tcW w:type="dxa" w:w="4163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Atividade humana</w:t>
            </w:r>
          </w:p>
        </w:tc>
        <w:tc>
          <w:tcPr>
            <w:tcW w:type="dxa" w:w="4383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Registro obrigatório</w:t>
            </w:r>
          </w:p>
        </w:tc>
      </w:tr>
      <w:tr>
        <w:tc>
          <w:tcPr>
            <w:tcW w:type="dxa" w:w="153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08h45 a 09h00</w:t>
            </w:r>
          </w:p>
        </w:tc>
        <w:tc>
          <w:tcPr>
            <w:tcW w:type="dxa" w:w="4163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Prioridades e revisão de inbound</w:t>
            </w:r>
          </w:p>
        </w:tc>
        <w:tc>
          <w:tcPr>
            <w:tcW w:type="dxa" w:w="4383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Três prioridades e bloqueio do dia</w:t>
            </w:r>
          </w:p>
        </w:tc>
      </w:tr>
      <w:tr>
        <w:tc>
          <w:tcPr>
            <w:tcW w:type="dxa" w:w="153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09h00 a 10h30</w:t>
            </w:r>
          </w:p>
        </w:tc>
        <w:tc>
          <w:tcPr>
            <w:tcW w:type="dxa" w:w="4163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Prospecção e primeiros contatos</w:t>
            </w:r>
          </w:p>
        </w:tc>
        <w:tc>
          <w:tcPr>
            <w:tcW w:type="dxa" w:w="4383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Conta, fonte, hipótese e resultado</w:t>
            </w:r>
          </w:p>
        </w:tc>
      </w:tr>
      <w:tr>
        <w:tc>
          <w:tcPr>
            <w:tcW w:type="dxa" w:w="153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10h30 a 11h00</w:t>
            </w:r>
          </w:p>
        </w:tc>
        <w:tc>
          <w:tcPr>
            <w:tcW w:type="dxa" w:w="4163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Pesquisa e personalização de 8 contas</w:t>
            </w:r>
          </w:p>
        </w:tc>
        <w:tc>
          <w:tcPr>
            <w:tcW w:type="dxa" w:w="4383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Sinal público e canal permitido</w:t>
            </w:r>
          </w:p>
        </w:tc>
      </w:tr>
      <w:tr>
        <w:tc>
          <w:tcPr>
            <w:tcW w:type="dxa" w:w="153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11h00 a 12h00</w:t>
            </w:r>
          </w:p>
        </w:tc>
        <w:tc>
          <w:tcPr>
            <w:tcW w:type="dxa" w:w="4163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Follow ups e confirmação de reuniões</w:t>
            </w:r>
          </w:p>
        </w:tc>
        <w:tc>
          <w:tcPr>
            <w:tcW w:type="dxa" w:w="4383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Próxima ação e data</w:t>
            </w:r>
          </w:p>
        </w:tc>
      </w:tr>
      <w:tr>
        <w:tc>
          <w:tcPr>
            <w:tcW w:type="dxa" w:w="153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13h30 a 15h30</w:t>
            </w:r>
          </w:p>
        </w:tc>
        <w:tc>
          <w:tcPr>
            <w:tcW w:type="dxa" w:w="4163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Diagnósticos e demonstrações</w:t>
            </w:r>
          </w:p>
        </w:tc>
        <w:tc>
          <w:tcPr>
            <w:tcW w:type="dxa" w:w="4383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Dor, impacto, decisores e dependências</w:t>
            </w:r>
          </w:p>
        </w:tc>
      </w:tr>
      <w:tr>
        <w:tc>
          <w:tcPr>
            <w:tcW w:type="dxa" w:w="153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15h30 a 16h00</w:t>
            </w:r>
          </w:p>
        </w:tc>
        <w:tc>
          <w:tcPr>
            <w:tcW w:type="dxa" w:w="4163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Propostas e conversa com parceiros</w:t>
            </w:r>
          </w:p>
        </w:tc>
        <w:tc>
          <w:tcPr>
            <w:tcW w:type="dxa" w:w="4383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Escopo, custo total e reunião de decisão</w:t>
            </w:r>
          </w:p>
        </w:tc>
      </w:tr>
      <w:tr>
        <w:tc>
          <w:tcPr>
            <w:tcW w:type="dxa" w:w="153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16h00 a 16h45</w:t>
            </w:r>
          </w:p>
        </w:tc>
        <w:tc>
          <w:tcPr>
            <w:tcW w:type="dxa" w:w="4163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Negociação e transferência de contexto</w:t>
            </w:r>
          </w:p>
        </w:tc>
        <w:tc>
          <w:tcPr>
            <w:tcW w:type="dxa" w:w="4383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Pendências, dono e prazo</w:t>
            </w:r>
          </w:p>
        </w:tc>
      </w:tr>
      <w:tr>
        <w:tc>
          <w:tcPr>
            <w:tcW w:type="dxa" w:w="153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16h45 a 17h15</w:t>
            </w:r>
          </w:p>
        </w:tc>
        <w:tc>
          <w:tcPr>
            <w:tcW w:type="dxa" w:w="4163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CRM, estudo e prática</w:t>
            </w:r>
          </w:p>
        </w:tc>
        <w:tc>
          <w:tcPr>
            <w:tcW w:type="dxa" w:w="4383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Campos completos e aprendizado</w:t>
            </w:r>
          </w:p>
        </w:tc>
      </w:tr>
    </w:tbl>
    <w:p>
      <w:pPr>
        <w:spacing w:after="40"/>
      </w:pPr>
    </w:p>
    <w:p>
      <w:pPr/>
      <w:r>
        <w:t>Intervalo de almoço, jornada e pausas devem respeitar o regime de contratação. Em dias com poucas demos, usar o bloco para recuperar propostas, rever gravação autorizada, preparar uma conta estratégica, melhorar uma resposta de nicho ou abordar parceiro. Não aumentar mensagens repetitivas para ocupar tempo.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57"/>
        <w:gridCol w:w="4265"/>
        <w:gridCol w:w="4458"/>
      </w:tblGrid>
      <w:tr>
        <w:trPr>
          <w:tblHeader/>
        </w:trPr>
        <w:tc>
          <w:tcPr>
            <w:tcW w:type="dxa" w:w="1357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Dia da semana</w:t>
            </w:r>
          </w:p>
        </w:tc>
        <w:tc>
          <w:tcPr>
            <w:tcW w:type="dxa" w:w="4265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Reunião de gestão</w:t>
            </w:r>
          </w:p>
        </w:tc>
        <w:tc>
          <w:tcPr>
            <w:tcW w:type="dxa" w:w="4458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Entrega complementar</w:t>
            </w:r>
          </w:p>
        </w:tc>
      </w:tr>
      <w:tr>
        <w:tc>
          <w:tcPr>
            <w:tcW w:type="dxa" w:w="135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Segunda</w:t>
            </w:r>
          </w:p>
        </w:tc>
        <w:tc>
          <w:tcPr>
            <w:tcW w:type="dxa" w:w="426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Pipeline e previsão de vendas por 45 minutos</w:t>
            </w:r>
          </w:p>
        </w:tc>
        <w:tc>
          <w:tcPr>
            <w:tcW w:type="dxa" w:w="445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Lista priorizada e compromissos da semana</w:t>
            </w:r>
          </w:p>
        </w:tc>
      </w:tr>
      <w:tr>
        <w:tc>
          <w:tcPr>
            <w:tcW w:type="dxa" w:w="135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Terça</w:t>
            </w:r>
          </w:p>
        </w:tc>
        <w:tc>
          <w:tcPr>
            <w:tcW w:type="dxa" w:w="426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Clínica de negócios por 30 minutos</w:t>
            </w:r>
          </w:p>
        </w:tc>
        <w:tc>
          <w:tcPr>
            <w:tcW w:type="dxa" w:w="4458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Uma estratégia para oportunidade por vendedor</w:t>
            </w:r>
          </w:p>
        </w:tc>
      </w:tr>
      <w:tr>
        <w:tc>
          <w:tcPr>
            <w:tcW w:type="dxa" w:w="135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Quarta</w:t>
            </w:r>
          </w:p>
        </w:tc>
        <w:tc>
          <w:tcPr>
            <w:tcW w:type="dxa" w:w="426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Coaching por 45 minutos</w:t>
            </w:r>
          </w:p>
        </w:tc>
        <w:tc>
          <w:tcPr>
            <w:tcW w:type="dxa" w:w="445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Role play e feedback com rubrica</w:t>
            </w:r>
          </w:p>
        </w:tc>
      </w:tr>
      <w:tr>
        <w:tc>
          <w:tcPr>
            <w:tcW w:type="dxa" w:w="135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Quinta</w:t>
            </w:r>
          </w:p>
        </w:tc>
        <w:tc>
          <w:tcPr>
            <w:tcW w:type="dxa" w:w="426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Produto e implantação por 30 minutos</w:t>
            </w:r>
          </w:p>
        </w:tc>
        <w:tc>
          <w:tcPr>
            <w:tcW w:type="dxa" w:w="4458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Dúvidas técnicas e capacidade de onboarding</w:t>
            </w:r>
          </w:p>
        </w:tc>
      </w:tr>
      <w:tr>
        <w:tc>
          <w:tcPr>
            <w:tcW w:type="dxa" w:w="135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Sexta</w:t>
            </w:r>
          </w:p>
        </w:tc>
        <w:tc>
          <w:tcPr>
            <w:tcW w:type="dxa" w:w="426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Ganhos e perdas por 30 minutos</w:t>
            </w:r>
          </w:p>
        </w:tc>
        <w:tc>
          <w:tcPr>
            <w:tcW w:type="dxa" w:w="445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Uma hipótese de melhoria e calendário seguinte</w:t>
            </w:r>
          </w:p>
        </w:tc>
      </w:tr>
    </w:tbl>
    <w:p>
      <w:pPr>
        <w:spacing w:after="40"/>
      </w:pPr>
    </w:p>
    <w:p>
      <w:pPr>
        <w:pStyle w:val="Heading1"/>
      </w:pPr>
      <w:r>
        <w:t>Cronograma de 90 dias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77"/>
        <w:gridCol w:w="2616"/>
        <w:gridCol w:w="3540"/>
        <w:gridCol w:w="2847"/>
      </w:tblGrid>
      <w:tr>
        <w:trPr>
          <w:tblHeader/>
        </w:trPr>
        <w:tc>
          <w:tcPr>
            <w:tcW w:type="dxa" w:w="1077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Semana</w:t>
            </w:r>
          </w:p>
        </w:tc>
        <w:tc>
          <w:tcPr>
            <w:tcW w:type="dxa" w:w="2616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Entrega principal</w:t>
            </w:r>
          </w:p>
        </w:tc>
        <w:tc>
          <w:tcPr>
            <w:tcW w:type="dxa" w:w="3540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Aceite</w:t>
            </w:r>
          </w:p>
        </w:tc>
        <w:tc>
          <w:tcPr>
            <w:tcW w:type="dxa" w:w="2847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Meta de aprendizagem</w:t>
            </w:r>
          </w:p>
        </w:tc>
      </w:tr>
      <w:tr>
        <w:tc>
          <w:tcPr>
            <w:tcW w:type="dxa" w:w="107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261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Matriz de recursos e limites</w:t>
            </w:r>
          </w:p>
        </w:tc>
        <w:tc>
          <w:tcPr>
            <w:tcW w:type="dxa" w:w="354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Claims críticas classificadas</w:t>
            </w:r>
          </w:p>
        </w:tc>
        <w:tc>
          <w:tcPr>
            <w:tcW w:type="dxa" w:w="284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20 contas por vendedor pesquisadas</w:t>
            </w:r>
          </w:p>
        </w:tc>
      </w:tr>
      <w:tr>
        <w:tc>
          <w:tcPr>
            <w:tcW w:type="dxa" w:w="107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261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ICP e cinco mensagens de nicho</w:t>
            </w:r>
          </w:p>
        </w:tc>
        <w:tc>
          <w:tcPr>
            <w:tcW w:type="dxa" w:w="354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Gestor aprova e responsáveis regulados revisam</w:t>
            </w:r>
          </w:p>
        </w:tc>
        <w:tc>
          <w:tcPr>
            <w:tcW w:type="dxa" w:w="284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5 conversas por vendedor</w:t>
            </w:r>
          </w:p>
        </w:tc>
      </w:tr>
      <w:tr>
        <w:tc>
          <w:tcPr>
            <w:tcW w:type="dxa" w:w="107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261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Preço e COGS</w:t>
            </w:r>
          </w:p>
        </w:tc>
        <w:tc>
          <w:tcPr>
            <w:tcW w:type="dxa" w:w="354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Margem aprovada ou preço corrigido</w:t>
            </w:r>
          </w:p>
        </w:tc>
        <w:tc>
          <w:tcPr>
            <w:tcW w:type="dxa" w:w="284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2 diagnósticos por vendedor</w:t>
            </w:r>
          </w:p>
        </w:tc>
      </w:tr>
      <w:tr>
        <w:tc>
          <w:tcPr>
            <w:tcW w:type="dxa" w:w="107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4</w:t>
            </w:r>
          </w:p>
        </w:tc>
        <w:tc>
          <w:tcPr>
            <w:tcW w:type="dxa" w:w="261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Funil e campos no CRM</w:t>
            </w:r>
          </w:p>
        </w:tc>
        <w:tc>
          <w:tcPr>
            <w:tcW w:type="dxa" w:w="354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Fluxo completo em homologação</w:t>
            </w:r>
          </w:p>
        </w:tc>
        <w:tc>
          <w:tcPr>
            <w:tcW w:type="dxa" w:w="284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 contrato do time no mês</w:t>
            </w:r>
          </w:p>
        </w:tc>
      </w:tr>
      <w:tr>
        <w:tc>
          <w:tcPr>
            <w:tcW w:type="dxa" w:w="107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5</w:t>
            </w:r>
          </w:p>
        </w:tc>
        <w:tc>
          <w:tcPr>
            <w:tcW w:type="dxa" w:w="261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Certificação de produto e scripts</w:t>
            </w:r>
          </w:p>
        </w:tc>
        <w:tc>
          <w:tcPr>
            <w:tcW w:type="dxa" w:w="354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Nota 80% e demo aprovada</w:t>
            </w:r>
          </w:p>
        </w:tc>
        <w:tc>
          <w:tcPr>
            <w:tcW w:type="dxa" w:w="284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60% das atividades maduras</w:t>
            </w:r>
          </w:p>
        </w:tc>
      </w:tr>
      <w:tr>
        <w:tc>
          <w:tcPr>
            <w:tcW w:type="dxa" w:w="107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6</w:t>
            </w:r>
          </w:p>
        </w:tc>
        <w:tc>
          <w:tcPr>
            <w:tcW w:type="dxa" w:w="261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Primeiros pilotos</w:t>
            </w:r>
          </w:p>
        </w:tc>
        <w:tc>
          <w:tcPr>
            <w:tcW w:type="dxa" w:w="354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Baseline e critérios assinados</w:t>
            </w:r>
          </w:p>
        </w:tc>
        <w:tc>
          <w:tcPr>
            <w:tcW w:type="dxa" w:w="284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10 diagnósticos acumulados</w:t>
            </w:r>
          </w:p>
        </w:tc>
      </w:tr>
      <w:tr>
        <w:tc>
          <w:tcPr>
            <w:tcW w:type="dxa" w:w="107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7</w:t>
            </w:r>
          </w:p>
        </w:tc>
        <w:tc>
          <w:tcPr>
            <w:tcW w:type="dxa" w:w="261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Materiais de parceiros</w:t>
            </w:r>
          </w:p>
        </w:tc>
        <w:tc>
          <w:tcPr>
            <w:tcW w:type="dxa" w:w="354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Comissão e atribuição aprovadas</w:t>
            </w:r>
          </w:p>
        </w:tc>
        <w:tc>
          <w:tcPr>
            <w:tcW w:type="dxa" w:w="284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3 parceiros entrevistados</w:t>
            </w:r>
          </w:p>
        </w:tc>
      </w:tr>
      <w:tr>
        <w:tc>
          <w:tcPr>
            <w:tcW w:type="dxa" w:w="107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8</w:t>
            </w:r>
          </w:p>
        </w:tc>
        <w:tc>
          <w:tcPr>
            <w:tcW w:type="dxa" w:w="261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Lançamento controlado</w:t>
            </w:r>
          </w:p>
        </w:tc>
        <w:tc>
          <w:tcPr>
            <w:tcW w:type="dxa" w:w="354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Suporte e agenda de implantação livres</w:t>
            </w:r>
          </w:p>
        </w:tc>
        <w:tc>
          <w:tcPr>
            <w:tcW w:type="dxa" w:w="284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2 contratos no mês 2</w:t>
            </w:r>
          </w:p>
        </w:tc>
      </w:tr>
      <w:tr>
        <w:tc>
          <w:tcPr>
            <w:tcW w:type="dxa" w:w="107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9</w:t>
            </w:r>
          </w:p>
        </w:tc>
        <w:tc>
          <w:tcPr>
            <w:tcW w:type="dxa" w:w="261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Revisão de perdas e objeções</w:t>
            </w:r>
          </w:p>
        </w:tc>
        <w:tc>
          <w:tcPr>
            <w:tcW w:type="dxa" w:w="354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Uma hipótese corrigida</w:t>
            </w:r>
          </w:p>
        </w:tc>
        <w:tc>
          <w:tcPr>
            <w:tcW w:type="dxa" w:w="284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80% da atividade madura</w:t>
            </w:r>
          </w:p>
        </w:tc>
      </w:tr>
      <w:tr>
        <w:tc>
          <w:tcPr>
            <w:tcW w:type="dxa" w:w="107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10</w:t>
            </w:r>
          </w:p>
        </w:tc>
        <w:tc>
          <w:tcPr>
            <w:tcW w:type="dxa" w:w="261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Jornada odontológica e imobiliária</w:t>
            </w:r>
          </w:p>
        </w:tc>
        <w:tc>
          <w:tcPr>
            <w:tcW w:type="dxa" w:w="354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Transferência de contexto e falha testados</w:t>
            </w:r>
          </w:p>
        </w:tc>
        <w:tc>
          <w:tcPr>
            <w:tcW w:type="dxa" w:w="284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Demos por nicho sem promessa indevida</w:t>
            </w:r>
          </w:p>
        </w:tc>
      </w:tr>
      <w:tr>
        <w:tc>
          <w:tcPr>
            <w:tcW w:type="dxa" w:w="107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11</w:t>
            </w:r>
          </w:p>
        </w:tc>
        <w:tc>
          <w:tcPr>
            <w:tcW w:type="dxa" w:w="261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Custos reais e previsão de vendas</w:t>
            </w:r>
          </w:p>
        </w:tc>
        <w:tc>
          <w:tcPr>
            <w:tcW w:type="dxa" w:w="354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Horas e margem reconciliadas</w:t>
            </w:r>
          </w:p>
        </w:tc>
        <w:tc>
          <w:tcPr>
            <w:tcW w:type="dxa" w:w="284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CRM 95% completo</w:t>
            </w:r>
          </w:p>
        </w:tc>
      </w:tr>
      <w:tr>
        <w:tc>
          <w:tcPr>
            <w:tcW w:type="dxa" w:w="107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12</w:t>
            </w:r>
          </w:p>
        </w:tc>
        <w:tc>
          <w:tcPr>
            <w:tcW w:type="dxa" w:w="261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Decisão de escala</w:t>
            </w:r>
          </w:p>
        </w:tc>
        <w:tc>
          <w:tcPr>
            <w:tcW w:type="dxa" w:w="354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Direção decide manter ou ajustar</w:t>
            </w:r>
          </w:p>
        </w:tc>
        <w:tc>
          <w:tcPr>
            <w:tcW w:type="dxa" w:w="284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3 contratos no mês 3</w:t>
            </w:r>
          </w:p>
        </w:tc>
      </w:tr>
    </w:tbl>
    <w:p>
      <w:pPr>
        <w:spacing w:after="40"/>
      </w:pPr>
    </w:p>
    <w:p>
      <w:pPr/>
      <w:r>
        <w:t>Se o site, licença ou COGS não estiverem aprovados, a semana continua com pesquisa, laboratório e diagnóstico sem promessa de contratação pronta. Uma atividade prévia não autoriza campanha real ou configuração de dados pessoais.</w:t>
      </w:r>
    </w:p>
    <w:p>
      <w:pPr>
        <w:pStyle w:val="Heading1"/>
      </w:pPr>
      <w:r>
        <w:t>Calendário de doze meses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25"/>
        <w:gridCol w:w="1425"/>
        <w:gridCol w:w="1731"/>
        <w:gridCol w:w="2240"/>
        <w:gridCol w:w="3258"/>
      </w:tblGrid>
      <w:tr>
        <w:trPr>
          <w:tblHeader/>
        </w:trPr>
        <w:tc>
          <w:tcPr>
            <w:tcW w:type="dxa" w:w="1425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Mês</w:t>
            </w:r>
          </w:p>
        </w:tc>
        <w:tc>
          <w:tcPr>
            <w:tcW w:type="dxa" w:w="1425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Ganhos</w:t>
            </w:r>
          </w:p>
        </w:tc>
        <w:tc>
          <w:tcPr>
            <w:tcW w:type="dxa" w:w="1731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Novo MRR de lista</w:t>
            </w:r>
          </w:p>
        </w:tc>
        <w:tc>
          <w:tcPr>
            <w:tcW w:type="dxa" w:w="2240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MRR acumulado de lista</w:t>
            </w:r>
          </w:p>
        </w:tc>
        <w:tc>
          <w:tcPr>
            <w:tcW w:type="dxa" w:w="3258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MRR efetivo acumulado do cenário</w:t>
            </w:r>
          </w:p>
        </w:tc>
      </w:tr>
      <w:tr>
        <w:tc>
          <w:tcPr>
            <w:tcW w:type="dxa" w:w="142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142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173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R$ 772</w:t>
            </w:r>
          </w:p>
        </w:tc>
        <w:tc>
          <w:tcPr>
            <w:tcW w:type="dxa" w:w="224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R$ 772</w:t>
            </w:r>
          </w:p>
        </w:tc>
        <w:tc>
          <w:tcPr>
            <w:tcW w:type="dxa" w:w="325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R$ 681,93</w:t>
            </w:r>
          </w:p>
        </w:tc>
      </w:tr>
      <w:tr>
        <w:tc>
          <w:tcPr>
            <w:tcW w:type="dxa" w:w="142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142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1731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R$ 1.544</w:t>
            </w:r>
          </w:p>
        </w:tc>
        <w:tc>
          <w:tcPr>
            <w:tcW w:type="dxa" w:w="224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R$ 2.316</w:t>
            </w:r>
          </w:p>
        </w:tc>
        <w:tc>
          <w:tcPr>
            <w:tcW w:type="dxa" w:w="3258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R$ 2.045,80</w:t>
            </w:r>
          </w:p>
        </w:tc>
      </w:tr>
      <w:tr>
        <w:tc>
          <w:tcPr>
            <w:tcW w:type="dxa" w:w="142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142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173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R$ 2.316</w:t>
            </w:r>
          </w:p>
        </w:tc>
        <w:tc>
          <w:tcPr>
            <w:tcW w:type="dxa" w:w="224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R$ 4.632</w:t>
            </w:r>
          </w:p>
        </w:tc>
        <w:tc>
          <w:tcPr>
            <w:tcW w:type="dxa" w:w="325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R$ 4.091,60</w:t>
            </w:r>
          </w:p>
        </w:tc>
      </w:tr>
      <w:tr>
        <w:tc>
          <w:tcPr>
            <w:tcW w:type="dxa" w:w="142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4</w:t>
            </w:r>
          </w:p>
        </w:tc>
        <w:tc>
          <w:tcPr>
            <w:tcW w:type="dxa" w:w="142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4</w:t>
            </w:r>
          </w:p>
        </w:tc>
        <w:tc>
          <w:tcPr>
            <w:tcW w:type="dxa" w:w="1731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R$ 3.088</w:t>
            </w:r>
          </w:p>
        </w:tc>
        <w:tc>
          <w:tcPr>
            <w:tcW w:type="dxa" w:w="224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R$ 7.720</w:t>
            </w:r>
          </w:p>
        </w:tc>
        <w:tc>
          <w:tcPr>
            <w:tcW w:type="dxa" w:w="3258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R$ 6.819,33</w:t>
            </w:r>
          </w:p>
        </w:tc>
      </w:tr>
      <w:tr>
        <w:tc>
          <w:tcPr>
            <w:tcW w:type="dxa" w:w="142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5</w:t>
            </w:r>
          </w:p>
        </w:tc>
        <w:tc>
          <w:tcPr>
            <w:tcW w:type="dxa" w:w="142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5</w:t>
            </w:r>
          </w:p>
        </w:tc>
        <w:tc>
          <w:tcPr>
            <w:tcW w:type="dxa" w:w="173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R$ 3.860</w:t>
            </w:r>
          </w:p>
        </w:tc>
        <w:tc>
          <w:tcPr>
            <w:tcW w:type="dxa" w:w="224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R$ 11.580</w:t>
            </w:r>
          </w:p>
        </w:tc>
        <w:tc>
          <w:tcPr>
            <w:tcW w:type="dxa" w:w="325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R$ 10.229,00</w:t>
            </w:r>
          </w:p>
        </w:tc>
      </w:tr>
      <w:tr>
        <w:tc>
          <w:tcPr>
            <w:tcW w:type="dxa" w:w="142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6</w:t>
            </w:r>
          </w:p>
        </w:tc>
        <w:tc>
          <w:tcPr>
            <w:tcW w:type="dxa" w:w="142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5</w:t>
            </w:r>
          </w:p>
        </w:tc>
        <w:tc>
          <w:tcPr>
            <w:tcW w:type="dxa" w:w="1731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R$ 3.860</w:t>
            </w:r>
          </w:p>
        </w:tc>
        <w:tc>
          <w:tcPr>
            <w:tcW w:type="dxa" w:w="224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R$ 15.440</w:t>
            </w:r>
          </w:p>
        </w:tc>
        <w:tc>
          <w:tcPr>
            <w:tcW w:type="dxa" w:w="3258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R$ 13.638,67</w:t>
            </w:r>
          </w:p>
        </w:tc>
      </w:tr>
      <w:tr>
        <w:tc>
          <w:tcPr>
            <w:tcW w:type="dxa" w:w="142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7</w:t>
            </w:r>
          </w:p>
        </w:tc>
        <w:tc>
          <w:tcPr>
            <w:tcW w:type="dxa" w:w="142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6</w:t>
            </w:r>
          </w:p>
        </w:tc>
        <w:tc>
          <w:tcPr>
            <w:tcW w:type="dxa" w:w="173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R$ 4.632</w:t>
            </w:r>
          </w:p>
        </w:tc>
        <w:tc>
          <w:tcPr>
            <w:tcW w:type="dxa" w:w="224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R$ 20.072</w:t>
            </w:r>
          </w:p>
        </w:tc>
        <w:tc>
          <w:tcPr>
            <w:tcW w:type="dxa" w:w="325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R$ 17.730,27</w:t>
            </w:r>
          </w:p>
        </w:tc>
      </w:tr>
      <w:tr>
        <w:tc>
          <w:tcPr>
            <w:tcW w:type="dxa" w:w="142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8</w:t>
            </w:r>
          </w:p>
        </w:tc>
        <w:tc>
          <w:tcPr>
            <w:tcW w:type="dxa" w:w="142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6</w:t>
            </w:r>
          </w:p>
        </w:tc>
        <w:tc>
          <w:tcPr>
            <w:tcW w:type="dxa" w:w="1731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R$ 4.632</w:t>
            </w:r>
          </w:p>
        </w:tc>
        <w:tc>
          <w:tcPr>
            <w:tcW w:type="dxa" w:w="224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R$ 24.704</w:t>
            </w:r>
          </w:p>
        </w:tc>
        <w:tc>
          <w:tcPr>
            <w:tcW w:type="dxa" w:w="3258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R$ 21.821,87</w:t>
            </w:r>
          </w:p>
        </w:tc>
      </w:tr>
      <w:tr>
        <w:tc>
          <w:tcPr>
            <w:tcW w:type="dxa" w:w="142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9</w:t>
            </w:r>
          </w:p>
        </w:tc>
        <w:tc>
          <w:tcPr>
            <w:tcW w:type="dxa" w:w="142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6</w:t>
            </w:r>
          </w:p>
        </w:tc>
        <w:tc>
          <w:tcPr>
            <w:tcW w:type="dxa" w:w="173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R$ 4.632</w:t>
            </w:r>
          </w:p>
        </w:tc>
        <w:tc>
          <w:tcPr>
            <w:tcW w:type="dxa" w:w="224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R$ 29.336</w:t>
            </w:r>
          </w:p>
        </w:tc>
        <w:tc>
          <w:tcPr>
            <w:tcW w:type="dxa" w:w="325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R$ 25.913,47</w:t>
            </w:r>
          </w:p>
        </w:tc>
      </w:tr>
      <w:tr>
        <w:tc>
          <w:tcPr>
            <w:tcW w:type="dxa" w:w="142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10</w:t>
            </w:r>
          </w:p>
        </w:tc>
        <w:tc>
          <w:tcPr>
            <w:tcW w:type="dxa" w:w="142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7</w:t>
            </w:r>
          </w:p>
        </w:tc>
        <w:tc>
          <w:tcPr>
            <w:tcW w:type="dxa" w:w="1731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R$ 5.404</w:t>
            </w:r>
          </w:p>
        </w:tc>
        <w:tc>
          <w:tcPr>
            <w:tcW w:type="dxa" w:w="224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R$ 34.740</w:t>
            </w:r>
          </w:p>
        </w:tc>
        <w:tc>
          <w:tcPr>
            <w:tcW w:type="dxa" w:w="3258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R$ 30.687,00</w:t>
            </w:r>
          </w:p>
        </w:tc>
      </w:tr>
      <w:tr>
        <w:tc>
          <w:tcPr>
            <w:tcW w:type="dxa" w:w="142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11</w:t>
            </w:r>
          </w:p>
        </w:tc>
        <w:tc>
          <w:tcPr>
            <w:tcW w:type="dxa" w:w="142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7</w:t>
            </w:r>
          </w:p>
        </w:tc>
        <w:tc>
          <w:tcPr>
            <w:tcW w:type="dxa" w:w="173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R$ 5.404</w:t>
            </w:r>
          </w:p>
        </w:tc>
        <w:tc>
          <w:tcPr>
            <w:tcW w:type="dxa" w:w="224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R$ 40.144</w:t>
            </w:r>
          </w:p>
        </w:tc>
        <w:tc>
          <w:tcPr>
            <w:tcW w:type="dxa" w:w="325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R$ 35.460,53</w:t>
            </w:r>
          </w:p>
        </w:tc>
      </w:tr>
      <w:tr>
        <w:tc>
          <w:tcPr>
            <w:tcW w:type="dxa" w:w="142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12</w:t>
            </w:r>
          </w:p>
        </w:tc>
        <w:tc>
          <w:tcPr>
            <w:tcW w:type="dxa" w:w="142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7</w:t>
            </w:r>
          </w:p>
        </w:tc>
        <w:tc>
          <w:tcPr>
            <w:tcW w:type="dxa" w:w="1731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R$ 5.404</w:t>
            </w:r>
          </w:p>
        </w:tc>
        <w:tc>
          <w:tcPr>
            <w:tcW w:type="dxa" w:w="224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R$ 45.548</w:t>
            </w:r>
          </w:p>
        </w:tc>
        <w:tc>
          <w:tcPr>
            <w:tcW w:type="dxa" w:w="3258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R$ 40.234,07</w:t>
            </w:r>
          </w:p>
        </w:tc>
      </w:tr>
    </w:tbl>
    <w:p>
      <w:pPr>
        <w:spacing w:after="40"/>
      </w:pPr>
    </w:p>
    <w:p>
      <w:pPr/>
      <w:r>
        <w:t>Total de 59 contratos brutos. O quadro ignora churn, inadimplência, atraso de ativação, expansão, mudança de mix e receita de implantação. Não é previsão oficial. Na hipótese de churn mensal de clientes de 2%, sem expansão e com a mesma ARPA efetiva, simular a carteira por coorte antes de usar o resultado no orçamento.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47"/>
        <w:gridCol w:w="3852"/>
        <w:gridCol w:w="5081"/>
      </w:tblGrid>
      <w:tr>
        <w:trPr>
          <w:tblHeader/>
        </w:trPr>
        <w:tc>
          <w:tcPr>
            <w:tcW w:type="dxa" w:w="1147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Período</w:t>
            </w:r>
          </w:p>
        </w:tc>
        <w:tc>
          <w:tcPr>
            <w:tcW w:type="dxa" w:w="3852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Objetivo comercial</w:t>
            </w:r>
          </w:p>
        </w:tc>
        <w:tc>
          <w:tcPr>
            <w:tcW w:type="dxa" w:w="5081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Decisão de investimento</w:t>
            </w:r>
          </w:p>
        </w:tc>
      </w:tr>
      <w:tr>
        <w:tc>
          <w:tcPr>
            <w:tcW w:type="dxa" w:w="114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Meses 1 a 3</w:t>
            </w:r>
          </w:p>
        </w:tc>
        <w:tc>
          <w:tcPr>
            <w:tcW w:type="dxa" w:w="3852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Validar seis primeiros clientes e duas jornadas</w:t>
            </w:r>
          </w:p>
        </w:tc>
        <w:tc>
          <w:tcPr>
            <w:tcW w:type="dxa" w:w="508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Continuar apenas com implantação e preço viáveis</w:t>
            </w:r>
          </w:p>
        </w:tc>
      </w:tr>
      <w:tr>
        <w:tc>
          <w:tcPr>
            <w:tcW w:type="dxa" w:w="114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Meses 4 a 6</w:t>
            </w:r>
          </w:p>
        </w:tc>
        <w:tc>
          <w:tcPr>
            <w:tcW w:type="dxa" w:w="3852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Repetir processo e chegar a 20 clientes brutos</w:t>
            </w:r>
          </w:p>
        </w:tc>
        <w:tc>
          <w:tcPr>
            <w:tcW w:type="dxa" w:w="5081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Medir COGS, tempo de entrega e dois cases autorizados</w:t>
            </w:r>
          </w:p>
        </w:tc>
      </w:tr>
      <w:tr>
        <w:tc>
          <w:tcPr>
            <w:tcW w:type="dxa" w:w="114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Meses 7 a 9</w:t>
            </w:r>
          </w:p>
        </w:tc>
        <w:tc>
          <w:tcPr>
            <w:tcW w:type="dxa" w:w="3852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Parceiros e 38 clientes brutos</w:t>
            </w:r>
          </w:p>
        </w:tc>
        <w:tc>
          <w:tcPr>
            <w:tcW w:type="dxa" w:w="508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Escalar canal com CAC e retenção conhecidos</w:t>
            </w:r>
          </w:p>
        </w:tc>
      </w:tr>
      <w:tr>
        <w:tc>
          <w:tcPr>
            <w:tcW w:type="dxa" w:w="114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Meses 10 a 12</w:t>
            </w:r>
          </w:p>
        </w:tc>
        <w:tc>
          <w:tcPr>
            <w:tcW w:type="dxa" w:w="3852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Eficiência, anual e 59 clientes brutos</w:t>
            </w:r>
          </w:p>
        </w:tc>
        <w:tc>
          <w:tcPr>
            <w:tcW w:type="dxa" w:w="5081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Reforçar capacidade somente com pipeline e suporte sustentados</w:t>
            </w:r>
          </w:p>
        </w:tc>
      </w:tr>
    </w:tbl>
    <w:p>
      <w:pPr>
        <w:spacing w:after="40"/>
      </w:pPr>
    </w:p>
    <w:p>
      <w:pPr>
        <w:pStyle w:val="Heading1"/>
      </w:pPr>
      <w:r>
        <w:t>Painel de gestão e controle de etapas</w:t>
      </w:r>
    </w:p>
    <w:p>
      <w:pPr/>
      <w:r>
        <w:t>Registrar empresa, contato, segmento, origem, hipótese legal de contato, responsável e próxima ação. Na oportunidade, acrescentar dor declarada, impacto, prazo, etapa, plano, MRR de lista e efetivo, implantação, adaptação, decisor, concorrente, dependências e motivo de ganho ou perda. No transferência de contexto, registrar todas as promessas e o aceite do cliente.</w:t>
      </w:r>
    </w:p>
    <w:p>
      <w:pPr/>
      <w:r>
        <w:t>O gestor acompanha diariamente tempo de resposta e tarefas vencidas; semanalmente conversão, envelhecimento, show rate e propostas; mensalmente novo MRR efetivo, receita não recorrente, margem, CAC e ativação; trimestralmente retenção, renovação e produtividade por nicho. O CRM AnyChat possui contatos, organizações, tickets e tarefas; se o funil comercial exigir estágios ou relatórios não habilitados, usar ferramenta complementar aprovada sem fingir que o recurso existe no ambiente.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8"/>
        <w:gridCol w:w="4608"/>
        <w:gridCol w:w="4104"/>
      </w:tblGrid>
      <w:tr>
        <w:trPr>
          <w:tblHeader/>
        </w:trPr>
        <w:tc>
          <w:tcPr>
            <w:tcW w:type="dxa" w:w="1368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Indicador</w:t>
            </w:r>
          </w:p>
        </w:tc>
        <w:tc>
          <w:tcPr>
            <w:tcW w:type="dxa" w:w="4608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Definição</w:t>
            </w:r>
          </w:p>
        </w:tc>
        <w:tc>
          <w:tcPr>
            <w:tcW w:type="dxa" w:w="4104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Regra de ajuste</w:t>
            </w:r>
          </w:p>
        </w:tc>
      </w:tr>
      <w:tr>
        <w:tc>
          <w:tcPr>
            <w:tcW w:type="dxa" w:w="136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Show rate</w:t>
            </w:r>
          </w:p>
        </w:tc>
        <w:tc>
          <w:tcPr>
            <w:tcW w:type="dxa" w:w="460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Realizadas dividido por marcadas</w:t>
            </w:r>
          </w:p>
        </w:tc>
        <w:tc>
          <w:tcPr>
            <w:tcW w:type="dxa" w:w="410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Abaixo de 70% revisar agenda e confirmação</w:t>
            </w:r>
          </w:p>
        </w:tc>
      </w:tr>
      <w:tr>
        <w:tc>
          <w:tcPr>
            <w:tcW w:type="dxa" w:w="1368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Reunião para SQL</w:t>
            </w:r>
          </w:p>
        </w:tc>
        <w:tc>
          <w:tcPr>
            <w:tcW w:type="dxa" w:w="4608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SQL dividido por realizadas</w:t>
            </w:r>
          </w:p>
        </w:tc>
        <w:tc>
          <w:tcPr>
            <w:tcW w:type="dxa" w:w="410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Abaixo de 50% por quatro semanas revisar ICP</w:t>
            </w:r>
          </w:p>
        </w:tc>
      </w:tr>
      <w:tr>
        <w:tc>
          <w:tcPr>
            <w:tcW w:type="dxa" w:w="136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Proposta para ganho</w:t>
            </w:r>
          </w:p>
        </w:tc>
        <w:tc>
          <w:tcPr>
            <w:tcW w:type="dxa" w:w="460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Ganhos dividido por propostas encerradas</w:t>
            </w:r>
          </w:p>
        </w:tc>
        <w:tc>
          <w:tcPr>
            <w:tcW w:type="dxa" w:w="410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Abaixo de 20% investigar preço, decisão e fit</w:t>
            </w:r>
          </w:p>
        </w:tc>
      </w:tr>
      <w:tr>
        <w:tc>
          <w:tcPr>
            <w:tcW w:type="dxa" w:w="1368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Cobertura</w:t>
            </w:r>
          </w:p>
        </w:tc>
        <w:tc>
          <w:tcPr>
            <w:tcW w:type="dxa" w:w="4608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Pipeline elegível dividido pela quota</w:t>
            </w:r>
          </w:p>
        </w:tc>
        <w:tc>
          <w:tcPr>
            <w:tcW w:type="dxa" w:w="410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Buscar 3 vezes a quota sem incluir leads não qualificados</w:t>
            </w:r>
          </w:p>
        </w:tc>
      </w:tr>
      <w:tr>
        <w:tc>
          <w:tcPr>
            <w:tcW w:type="dxa" w:w="136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CAC</w:t>
            </w:r>
          </w:p>
        </w:tc>
        <w:tc>
          <w:tcPr>
            <w:tcW w:type="dxa" w:w="460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Vendas e marketing dividido por novos clientes</w:t>
            </w:r>
          </w:p>
        </w:tc>
        <w:tc>
          <w:tcPr>
            <w:tcW w:type="dxa" w:w="410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Separar salários, comissão, mídia e parceiros</w:t>
            </w:r>
          </w:p>
        </w:tc>
      </w:tr>
      <w:tr>
        <w:tc>
          <w:tcPr>
            <w:tcW w:type="dxa" w:w="1368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Payback</w:t>
            </w:r>
          </w:p>
        </w:tc>
        <w:tc>
          <w:tcPr>
            <w:tcW w:type="dxa" w:w="4608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CAC dividido pela margem de contribuição mensal</w:t>
            </w:r>
          </w:p>
        </w:tc>
        <w:tc>
          <w:tcPr>
            <w:tcW w:type="dxa" w:w="410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Hipótese inicial de teto de 12 meses</w:t>
            </w:r>
          </w:p>
        </w:tc>
      </w:tr>
      <w:tr>
        <w:tc>
          <w:tcPr>
            <w:tcW w:type="dxa" w:w="136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Ativação</w:t>
            </w:r>
          </w:p>
        </w:tc>
        <w:tc>
          <w:tcPr>
            <w:tcW w:type="dxa" w:w="460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Clientes com critérios cumpridos no prazo dividido por elegíveis</w:t>
            </w:r>
          </w:p>
        </w:tc>
        <w:tc>
          <w:tcPr>
            <w:tcW w:type="dxa" w:w="410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Abaixo de 80% pausar aceleração de aquisição</w:t>
            </w:r>
          </w:p>
        </w:tc>
      </w:tr>
    </w:tbl>
    <w:p>
      <w:pPr>
        <w:spacing w:after="40"/>
      </w:pPr>
    </w:p>
    <w:p>
      <w:pPr/>
      <w:r>
        <w:t>Cobertura de três vezes é referência de gestão e não prova fechamento. Com win rate de 30% em propostas, avaliar cobertura próxima de 3,33 vezes para essa etapa e revisar pelo ciclo real. Não somar propostas e oportunidades que representem o mesmo negócio.</w:t>
      </w:r>
    </w:p>
    <w:p>
      <w:pPr>
        <w:pStyle w:val="Heading1"/>
      </w:pPr>
      <w:r>
        <w:t>Capacidade de entrega</w:t>
      </w:r>
    </w:p>
    <w:p>
      <w:pPr/>
      <w:r>
        <w:t>No mix de referência, as horas de implantação por cliente são 0,25 × 4 + 0,60 × 8 + 0,15 × 16 = 8,2 horas. Cinco clientes demandam 41 horas técnicas de implantação, além de adaptação, suporte, retrabalho e administração. Sete demandam 57,4 horas. Reservar capacidade por semana antes de prometer kickoff e não tratar os vendedores como técnicos disponíveis em tempo integral.</w:t>
      </w:r>
    </w:p>
    <w:p>
      <w:pPr/>
      <w:r>
        <w:t>Contratar ou ampliar fornecedores somente após quatro semanas de capacidade comercial usada acima de 80%, cobertura real, suporte sem fila crítica e margem e CAC medidos. Se o problema for baixa conversão, corrigir processo antes de contratar.</w:t>
      </w:r>
    </w:p>
    <w:sectPr w:rsidR="00FC693F" w:rsidRPr="0006063C" w:rsidSect="00034616">
      <w:footerReference w:type="default" r:id="rId9"/>
      <w:pgSz w:w="12240" w:h="15840"/>
      <w:pgMar w:top="1037" w:right="1080" w:bottom="1037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555555"/>
        <w:sz w:val="18"/>
      </w:rPr>
      <w:t xml:space="preserve">Hablachat CRM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 w:line="26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 w:line="26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140" w:line="264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60" w:after="140" w:line="264" w:lineRule="auto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000000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64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64" w:lineRule="auto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ptax.bcb.gov.br/ptax_internet/consultarUltimaCotacaoDolar.do" TargetMode="External"/><Relationship Id="rId11" Type="http://schemas.openxmlformats.org/officeDocument/2006/relationships/hyperlink" Target="https://crisp.chat/en/pricing/" TargetMode="External"/><Relationship Id="rId12" Type="http://schemas.openxmlformats.org/officeDocument/2006/relationships/hyperlink" Target="https://zenvia.com/precos/" TargetMode="External"/><Relationship Id="rId13" Type="http://schemas.openxmlformats.org/officeDocument/2006/relationships/hyperlink" Target="https://www.kommo.com/br/precos/compare-planos/" TargetMode="External"/><Relationship Id="rId14" Type="http://schemas.openxmlformats.org/officeDocument/2006/relationships/hyperlink" Target="https://www.jivochat.com.br/pricing/" TargetMode="External"/><Relationship Id="rId15" Type="http://schemas.openxmlformats.org/officeDocument/2006/relationships/hyperlink" Target="https://respond.io/pricing" TargetMode="External"/><Relationship Id="rId16" Type="http://schemas.openxmlformats.org/officeDocument/2006/relationships/hyperlink" Target="https://www.huggy.io/en/pricing" TargetMode="External"/><Relationship Id="rId17" Type="http://schemas.openxmlformats.org/officeDocument/2006/relationships/hyperlink" Target="https://www.freshworks.com/live-chat-software/pricing/" TargetMode="External"/><Relationship Id="rId18" Type="http://schemas.openxmlformats.org/officeDocument/2006/relationships/hyperlink" Target="https://www.intercom.com/pricing" TargetMode="External"/><Relationship Id="rId19" Type="http://schemas.openxmlformats.org/officeDocument/2006/relationships/hyperlink" Target="https://www.blip.ai/en/pricing/" TargetMode="External"/><Relationship Id="rId20" Type="http://schemas.openxmlformats.org/officeDocument/2006/relationships/hyperlink" Target="https://support.wati.io/pt-BR/articles/11462993-entendendo-a-estrutura-de-precos-da-wati" TargetMode="External"/><Relationship Id="rId21" Type="http://schemas.openxmlformats.org/officeDocument/2006/relationships/hyperlink" Target="https://manychat.com/pricing" TargetMode="External"/><Relationship Id="rId22" Type="http://schemas.openxmlformats.org/officeDocument/2006/relationships/hyperlink" Target="https://www.tidio.com/pricing/" TargetMode="External"/><Relationship Id="rId23" Type="http://schemas.openxmlformats.org/officeDocument/2006/relationships/hyperlink" Target="https://docs.anychat.one/" TargetMode="External"/><Relationship Id="rId24" Type="http://schemas.openxmlformats.org/officeDocument/2006/relationships/hyperlink" Target="https://anychat.one/resources/ap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Lançamento comercial Hablachat CRM</dc:title>
  <dc:subject/>
  <dc:creator>Abizara Sistemas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