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Playbooks comerciais por ramo do Hablachat CRM</w:t>
      </w:r>
    </w:p>
    <w:p>
      <w:pPr/>
      <w:r>
        <w:t>Este documento transforma as capacidades confirmadas do AnyChat em hipóteses comerciais específicas para cinco nichos. Não é promessa de resultado, parecer jurídico ou autorização para publicidade profissional.</w:t>
      </w:r>
    </w:p>
    <w:p>
      <w:pPr>
        <w:pStyle w:val="Heading1"/>
      </w:pPr>
      <w:r>
        <w:t>Legenda de confiança e limites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Confirmado:</w:t>
      </w:r>
      <w:r>
        <w:t xml:space="preserve"> capacidade descrita na documentação oficial do AnyChat ou observada no ambiente Aura.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Hipótese:</w:t>
      </w:r>
      <w:r>
        <w:t xml:space="preserve"> tese comercial a ser validada em entrevistas, piloto ou teste de campanha.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Recomendação:</w:t>
      </w:r>
      <w:r>
        <w:t xml:space="preserve"> processo sugerido para a operação Hablachat.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Revisão obrigatória:</w:t>
      </w:r>
      <w:r>
        <w:t xml:space="preserve"> conteúdo que deve ser aprovado pelo cliente e, quando aplicável, pelo responsável técnico, jurídico ou encarregado de dados.</w:t>
      </w:r>
    </w:p>
    <w:p>
      <w:pPr>
        <w:pStyle w:val="Heading2"/>
      </w:pPr>
      <w:r>
        <w:t>Capacidades confirmadas usadas nos playbooks</w:t>
      </w:r>
    </w:p>
    <w:p>
      <w:pPr/>
      <w:r>
        <w:t>1. Inbox omnichannel para canais conectados, com leitura e resposta a partir do AnyChat.</w:t>
      </w:r>
    </w:p>
    <w:p>
      <w:pPr/>
      <w:r>
        <w:t>2. Membros, papéis e departamentos para organizar acesso e encaminhamento.</w:t>
      </w:r>
    </w:p>
    <w:p>
      <w:pPr/>
      <w:r>
        <w:t>3. Botão multicanal, LiveChat, Ice Breakers e modo offline com formulário.</w:t>
      </w:r>
    </w:p>
    <w:p>
      <w:pPr/>
      <w:r>
        <w:t>4. ChatFlows com mensagens, variáveis, validação de entrada, condições e convite a agente/departamento.</w:t>
      </w:r>
    </w:p>
    <w:p>
      <w:pPr/>
      <w:r>
        <w:t>5. CRM com contatos, organizações, tickets, tarefas e reuniões.</w:t>
      </w:r>
    </w:p>
    <w:p>
      <w:pPr/>
      <w:r>
        <w:t>6. Base de conhecimento e formulários.</w:t>
      </w:r>
    </w:p>
    <w:p>
      <w:pPr/>
      <w:r>
        <w:t>7. Campanhas somente pela API oficial do WhatsApp Business, com template aprovado, Dry run e logs.</w:t>
      </w:r>
    </w:p>
    <w:p>
      <w:pPr/>
      <w:r>
        <w:t>8. Webhooks e API REST documentados; cada integração deve ser homologada.</w:t>
      </w:r>
    </w:p>
    <w:p>
      <w:pPr/>
      <w:r>
        <w:t xml:space="preserve">Fontes de produto: </w:t>
      </w:r>
      <w:hyperlink r:id="rId10">
        <w:r>
          <w:rPr>
            <w:color w:val="0563C1"/>
          </w:rPr>
          <w:t>https://docs.anychat.one/omnichannel-inbox</w:t>
        </w:r>
      </w:hyperlink>
      <w:r>
        <w:t>,</w:t>
      </w:r>
      <w:r>
        <w:t xml:space="preserve"> </w:t>
      </w:r>
      <w:hyperlink r:id="rId11">
        <w:r>
          <w:rPr>
            <w:color w:val="0563C1"/>
          </w:rPr>
          <w:t>https://docs.anychat.one/workspaces/team-and-departments</w:t>
        </w:r>
      </w:hyperlink>
      <w:r>
        <w:t>,</w:t>
      </w:r>
      <w:r>
        <w:t xml:space="preserve"> </w:t>
      </w:r>
      <w:hyperlink r:id="rId12">
        <w:r>
          <w:rPr>
            <w:color w:val="0563C1"/>
          </w:rPr>
          <w:t>https://docs.anychat.one/live-chat-widget</w:t>
        </w:r>
      </w:hyperlink>
      <w:r>
        <w:t>,</w:t>
      </w:r>
      <w:r>
        <w:t xml:space="preserve"> </w:t>
      </w:r>
      <w:hyperlink r:id="rId13">
        <w:r>
          <w:rPr>
            <w:color w:val="0563C1"/>
          </w:rPr>
          <w:t>https://docs.anychat.one/chatflows-chatbot-builder</w:t>
        </w:r>
      </w:hyperlink>
      <w:r>
        <w:t>,</w:t>
      </w:r>
      <w:r>
        <w:t xml:space="preserve"> </w:t>
      </w:r>
      <w:hyperlink r:id="rId14">
        <w:r>
          <w:rPr>
            <w:color w:val="0563C1"/>
          </w:rPr>
          <w:t>https://docs.anychat.one/crm</w:t>
        </w:r>
      </w:hyperlink>
      <w:r>
        <w:t>,</w:t>
      </w:r>
      <w:r>
        <w:t xml:space="preserve"> </w:t>
      </w:r>
      <w:hyperlink r:id="rId15">
        <w:r>
          <w:rPr>
            <w:color w:val="0563C1"/>
          </w:rPr>
          <w:t>https://docs.anychat.one/campaigns</w:t>
        </w:r>
      </w:hyperlink>
      <w:r>
        <w:t xml:space="preserve"> e </w:t>
      </w:r>
      <w:hyperlink r:id="rId16">
        <w:r>
          <w:rPr>
            <w:color w:val="0563C1"/>
          </w:rPr>
          <w:t>https://anychat.one/resources/api</w:t>
        </w:r>
      </w:hyperlink>
      <w:r/>
    </w:p>
    <w:p>
      <w:pPr>
        <w:pStyle w:val="Heading2"/>
      </w:pPr>
      <w:r>
        <w:t>Restrições comuns a todos os nichos</w:t>
      </w:r>
    </w:p>
    <w:p>
      <w:pPr>
        <w:pStyle w:val="ListBullet"/>
      </w:pPr>
      <w:r>
        <w:t>Não prometer integração, SLA, economia, conversão ou conformidade sem piloto e evidência.</w:t>
      </w:r>
    </w:p>
    <w:p>
      <w:pPr>
        <w:pStyle w:val="ListBullet"/>
      </w:pPr>
      <w:r>
        <w:t>Não disparar WhatsApp frio; campanhas exigem WABA, template aprovado, base legal, política de opt-out e revisão da finalidade.</w:t>
      </w:r>
    </w:p>
    <w:p>
      <w:pPr>
        <w:pStyle w:val="ListBullet"/>
      </w:pPr>
      <w:r>
        <w:t>Minimizar dados; dados de saúde são sensíveis e não devem ser usados para segmentação comercial improvisada.</w:t>
      </w:r>
    </w:p>
    <w:p>
      <w:pPr>
        <w:pStyle w:val="ListBullet"/>
      </w:pPr>
      <w:r>
        <w:t>Não automatizar diagnóstico, prescrição, parecer jurídico, recomendação fiscal definitiva ou decisão que exija profissional habilitado.</w:t>
      </w:r>
    </w:p>
    <w:p>
      <w:pPr>
        <w:pStyle w:val="ListBullet"/>
      </w:pPr>
      <w:r>
        <w:t>Toda mensagem regulada, promoção, caso de cliente, depoimento e uso de imagem exige aprovação humana registrada.</w:t>
      </w:r>
    </w:p>
    <w:p>
      <w:pPr>
        <w:pStyle w:val="ListBullet"/>
      </w:pPr>
      <w:r>
        <w:t>Manter trilha de origem do contato, finalidade, consentimento quando aplicável, opt-out e prazo de retenção.</w:t>
      </w:r>
    </w:p>
    <w:p>
      <w:pPr/>
      <w:r>
        <w:t xml:space="preserve">Referências de conformidade: </w:t>
      </w:r>
      <w:hyperlink r:id="rId17">
        <w:r>
          <w:rPr>
            <w:color w:val="0563C1"/>
          </w:rPr>
          <w:t>LGPD</w:t>
        </w:r>
      </w:hyperlink>
      <w:r>
        <w:t xml:space="preserve">, </w:t>
      </w:r>
      <w:hyperlink r:id="rId18">
        <w:r>
          <w:rPr>
            <w:color w:val="0563C1"/>
          </w:rPr>
          <w:t>guia da ANPD sobre legítimo interesse</w:t>
        </w:r>
      </w:hyperlink>
      <w:r>
        <w:t xml:space="preserve">, </w:t>
      </w:r>
      <w:hyperlink r:id="rId19">
        <w:r>
          <w:rPr>
            <w:color w:val="0563C1"/>
          </w:rPr>
          <w:t>Provimento OAB 205/2021</w:t>
        </w:r>
      </w:hyperlink>
      <w:r>
        <w:t xml:space="preserve">, </w:t>
      </w:r>
      <w:hyperlink r:id="rId20">
        <w:r>
          <w:rPr>
            <w:color w:val="0563C1"/>
          </w:rPr>
          <w:t>Resolução CFO 196/2019</w:t>
        </w:r>
      </w:hyperlink>
      <w:r>
        <w:t xml:space="preserve"> e </w:t>
      </w:r>
      <w:hyperlink r:id="rId21">
        <w:r>
          <w:rPr>
            <w:color w:val="0563C1"/>
          </w:rPr>
          <w:t>NBC PG 01/CFC</w:t>
        </w:r>
      </w:hyperlink>
      <w:r>
        <w:t>.</w:t>
      </w:r>
    </w:p>
    <w:p>
      <w:pPr>
        <w:pStyle w:val="Heading1"/>
      </w:pPr>
      <w:r>
        <w:t>Playbook Odontologia</w:t>
      </w:r>
    </w:p>
    <w:p>
      <w:pPr>
        <w:pStyle w:val="Heading2"/>
      </w:pPr>
      <w:r>
        <w:t>Tese do nicho</w:t>
      </w:r>
    </w:p>
    <w:p>
      <w:pPr/>
      <w:r/>
      <w:r>
        <w:rPr>
          <w:rFonts w:ascii="Calibri" w:hAnsi="Calibri"/>
          <w:b/>
          <w:color w:val="000000"/>
        </w:rPr>
        <w:t>Hipótese:</w:t>
      </w:r>
      <w:r>
        <w:t xml:space="preserve"> clínicas com múltiplos canais perdem oportunidades quando dúvidas sobre agenda, convênio, localização e preparo ficam sem resposta ou sem responsável. O Hablachat pode organizar a entrada, coletar apenas dados administrativos e transferir o contato à recepção.</w:t>
      </w:r>
    </w:p>
    <w:p>
      <w:pPr>
        <w:pStyle w:val="Heading2"/>
      </w:pPr>
      <w:r>
        <w:t>Dores e buyer personas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04"/>
        <w:gridCol w:w="4814"/>
        <w:gridCol w:w="3761"/>
      </w:tblGrid>
      <w:tr>
        <w:trPr>
          <w:tblHeader/>
        </w:trPr>
        <w:tc>
          <w:tcPr>
            <w:tcW w:type="dxa" w:w="150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481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Dor provável</w:t>
            </w:r>
          </w:p>
        </w:tc>
        <w:tc>
          <w:tcPr>
            <w:tcW w:type="dxa" w:w="376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Critério de valor</w:t>
            </w:r>
          </w:p>
        </w:tc>
      </w:tr>
      <w:tr>
        <w:tc>
          <w:tcPr>
            <w:tcW w:type="dxa" w:w="15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Proprietário(a)/RT</w:t>
            </w:r>
          </w:p>
        </w:tc>
        <w:tc>
          <w:tcPr>
            <w:tcW w:type="dxa" w:w="48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Falta de padrão, risco ético e baixa visibilidade do atendimento</w:t>
            </w:r>
          </w:p>
        </w:tc>
        <w:tc>
          <w:tcPr>
            <w:tcW w:type="dxa" w:w="376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Controle, aprovação e rastreabilidade</w:t>
            </w:r>
          </w:p>
        </w:tc>
      </w:tr>
      <w:tr>
        <w:tc>
          <w:tcPr>
            <w:tcW w:type="dxa" w:w="150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Gestor(a) da clínica</w:t>
            </w:r>
          </w:p>
        </w:tc>
        <w:tc>
          <w:tcPr>
            <w:tcW w:type="dxa" w:w="48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Mensagens dispersas, picos e ausência de métricas</w:t>
            </w:r>
          </w:p>
        </w:tc>
        <w:tc>
          <w:tcPr>
            <w:tcW w:type="dxa" w:w="376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Fila única, departamentos e indicadores</w:t>
            </w:r>
          </w:p>
        </w:tc>
      </w:tr>
      <w:tr>
        <w:tc>
          <w:tcPr>
            <w:tcW w:type="dxa" w:w="15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Recepção</w:t>
            </w:r>
          </w:p>
        </w:tc>
        <w:tc>
          <w:tcPr>
            <w:tcW w:type="dxa" w:w="48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Perguntas repetidas e dados incompletos</w:t>
            </w:r>
          </w:p>
        </w:tc>
        <w:tc>
          <w:tcPr>
            <w:tcW w:type="dxa" w:w="376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Triagem administrativa e transferência de contexto</w:t>
            </w:r>
          </w:p>
        </w:tc>
      </w:tr>
      <w:tr>
        <w:tc>
          <w:tcPr>
            <w:tcW w:type="dxa" w:w="150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Marketing</w:t>
            </w:r>
          </w:p>
        </w:tc>
        <w:tc>
          <w:tcPr>
            <w:tcW w:type="dxa" w:w="48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Leads sem retorno e conteúdo sob restrições</w:t>
            </w:r>
          </w:p>
        </w:tc>
        <w:tc>
          <w:tcPr>
            <w:tcW w:type="dxa" w:w="376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Origem, cadência consentida e revisão do RT</w:t>
            </w:r>
          </w:p>
        </w:tc>
      </w:tr>
    </w:tbl>
    <w:p>
      <w:pPr>
        <w:spacing w:after="40"/>
      </w:pPr>
    </w:p>
    <w:p>
      <w:pPr>
        <w:pStyle w:val="Heading2"/>
      </w:pPr>
      <w:r>
        <w:t>Eventos gatilho</w:t>
      </w:r>
    </w:p>
    <w:p>
      <w:pPr>
        <w:pStyle w:val="ListBullet"/>
      </w:pPr>
      <w:r>
        <w:t>abertura de unidade ou contratação de recepcionistas;</w:t>
      </w:r>
    </w:p>
    <w:p>
      <w:pPr>
        <w:pStyle w:val="ListBullet"/>
      </w:pPr>
      <w:r>
        <w:t>aumento de mídia paga ou mensagens em Instagram/WhatsApp;</w:t>
      </w:r>
    </w:p>
    <w:p>
      <w:pPr>
        <w:pStyle w:val="ListBullet"/>
      </w:pPr>
      <w:r>
        <w:t>agenda com ociosidade, faltas ou demora percebida;</w:t>
      </w:r>
    </w:p>
    <w:p>
      <w:pPr>
        <w:pStyle w:val="ListBullet"/>
      </w:pPr>
      <w:r>
        <w:t>implantação de novo site;</w:t>
      </w:r>
    </w:p>
    <w:p>
      <w:pPr>
        <w:pStyle w:val="ListBullet"/>
      </w:pPr>
      <w:r>
        <w:t>auditoria de publicidade ou revisão de LGPD;</w:t>
      </w:r>
    </w:p>
    <w:p>
      <w:pPr>
        <w:pStyle w:val="ListBullet"/>
      </w:pPr>
      <w:r>
        <w:t>expansão de especialidades.</w:t>
      </w:r>
    </w:p>
    <w:p>
      <w:pPr>
        <w:pStyle w:val="Heading2"/>
      </w:pPr>
      <w:r>
        <w:t>Oferta e prova de valor</w:t>
      </w:r>
    </w:p>
    <w:p>
      <w:pPr/>
      <w:r/>
      <w:r>
        <w:rPr>
          <w:rFonts w:ascii="Calibri" w:hAnsi="Calibri"/>
          <w:b/>
          <w:color w:val="000000"/>
        </w:rPr>
        <w:t>Oferta recomendada:</w:t>
      </w:r>
      <w:r>
        <w:t xml:space="preserve"> diagnóstico de atendimento + implantação de widget/Inbox + fluxo administrativo de solicitação de agendamento + treinamento de recepção + painel inicial.</w:t>
      </w:r>
    </w:p>
    <w:p>
      <w:pPr/>
      <w:r/>
      <w:r>
        <w:rPr>
          <w:rFonts w:ascii="Calibri" w:hAnsi="Calibri"/>
          <w:b/>
          <w:color w:val="000000"/>
        </w:rPr>
        <w:t>Prova de valor em piloto:</w:t>
      </w:r>
      <w:r>
        <w:t xml:space="preserve"> medir tempo até primeira resposta, percentual de conversas com responsável, solicitações completas, abandono do fluxo e handoffs aceitos. Não usar “mais tratamentos vendidos” como promessa.</w:t>
      </w:r>
    </w:p>
    <w:p>
      <w:pPr>
        <w:pStyle w:val="Heading2"/>
      </w:pPr>
      <w:r>
        <w:t>Fluxo demonstrável no AnyChat</w:t>
      </w:r>
    </w:p>
    <w:p>
      <w:pPr/>
      <w:r>
        <w:t>1. Visitante abre o widget e escolhe “Agendamento”, “Horários e localização” ou “Falar com a recepção”.</w:t>
      </w:r>
    </w:p>
    <w:p>
      <w:pPr/>
      <w:r>
        <w:t>2. ChatFlow informa que não realiza diagnóstico e pede apenas nome, canal de retorno, unidade e preferência de período.</w:t>
      </w:r>
    </w:p>
    <w:p>
      <w:pPr/>
      <w:r>
        <w:t>3. Uma condição direciona por unidade ou assunto.</w:t>
      </w:r>
    </w:p>
    <w:p>
      <w:pPr/>
      <w:r>
        <w:t xml:space="preserve">4. </w:t>
      </w:r>
      <w:r>
        <w:rPr>
          <w:rFonts w:ascii="Calibri" w:hAnsi="Calibri"/>
          <w:b/>
          <w:color w:val="000000"/>
        </w:rPr>
        <w:t>Invite agent</w:t>
      </w:r>
      <w:r>
        <w:t xml:space="preserve"> envia a conversa ao departamento de recepção/vendas aprovado.</w:t>
      </w:r>
    </w:p>
    <w:p>
      <w:pPr/>
      <w:r>
        <w:t>5. Fora do horário, o formulário offline registra a solicitação.</w:t>
      </w:r>
    </w:p>
    <w:p>
      <w:pPr/>
      <w:r>
        <w:t>6. A equipe registra tarefa ou reunião no CRM.</w:t>
      </w:r>
    </w:p>
    <w:p>
      <w:pPr/>
      <w:r/>
      <w:r>
        <w:rPr>
          <w:rFonts w:ascii="Calibri" w:hAnsi="Calibri"/>
          <w:b/>
          <w:color w:val="000000"/>
        </w:rPr>
        <w:t>Confirmado:</w:t>
      </w:r>
      <w:r>
        <w:t xml:space="preserve"> mensagens, validação, condições, variáveis, formulário offline, departamentos, Invite agent e CRM. </w:t>
      </w:r>
      <w:r>
        <w:rPr>
          <w:rFonts w:ascii="Calibri" w:hAnsi="Calibri"/>
          <w:b/>
          <w:color w:val="000000"/>
        </w:rPr>
        <w:t>Hipótese:</w:t>
      </w:r>
      <w:r>
        <w:t xml:space="preserve"> integração com agenda clínica; só demonstrar depois de homologação por API/webhook.</w:t>
      </w:r>
    </w:p>
    <w:p>
      <w:pPr>
        <w:pStyle w:val="Heading2"/>
      </w:pPr>
      <w:r>
        <w:t>Scripts</w:t>
      </w:r>
    </w:p>
    <w:p>
      <w:pPr/>
      <w:r/>
      <w:r>
        <w:rPr>
          <w:rFonts w:ascii="Calibri" w:hAnsi="Calibri"/>
          <w:b/>
          <w:color w:val="000000"/>
        </w:rPr>
        <w:t>Prospecção — e-mail ou LinkedIn, não WhatsApp frio</w:t>
      </w:r>
      <w:r/>
    </w:p>
    <w:p>
      <w:pPr/>
      <w:r>
        <w:t>Assunto: triagem administrativa dos contatos da clínica</w:t>
      </w:r>
    </w:p>
    <w:p>
      <w:pPr/>
      <w:r/>
    </w:p>
    <w:p>
      <w:pPr/>
      <w:r>
        <w:t>Olá, [Nome]. Notei que a clínica atende por [canais observáveis]. Minha hipótese é que perguntas de agenda, unidade e horário chegam misturadas com demandas clínicas. A Hablachat organiza a entrada, coleta somente dados administrativos e transfere à recepção. Vale mapear o processo atual em 20 minutos? Não fazemos diagnóstico automatizado nem prometemos resultado clínico.</w:t>
      </w:r>
    </w:p>
    <w:p>
      <w:pPr/>
      <w:r/>
      <w:r>
        <w:rPr>
          <w:rFonts w:ascii="Calibri" w:hAnsi="Calibri"/>
          <w:b/>
          <w:color w:val="000000"/>
        </w:rPr>
        <w:t>Abertura da demo</w:t>
      </w:r>
      <w:r/>
    </w:p>
    <w:p>
      <w:pPr/>
      <w:r>
        <w:t>“Hoje vou mostrar um fluxo administrativo: entrada pelo site, coleta mínima, direcionamento e acompanhamento. Qualquer orientação clínica continua sob responsabilidade de profissional habilitado.”</w:t>
      </w:r>
    </w:p>
    <w:p>
      <w:pPr/>
      <w:r/>
      <w:r>
        <w:rPr>
          <w:rFonts w:ascii="Calibri" w:hAnsi="Calibri"/>
          <w:b/>
          <w:color w:val="000000"/>
        </w:rPr>
        <w:t>WhatsApp após opt-in</w:t>
      </w:r>
      <w:r/>
    </w:p>
    <w:p>
      <w:pPr/>
      <w:r>
        <w:t>Olá, [Nome]. Você pediu informações sobre a organização do atendimento da clínica. Posso confirmar três pontos — canais, equipe e horários — para preparar a demonstração? Se preferir não continuar, responda PARAR.</w:t>
      </w:r>
    </w:p>
    <w:p>
      <w:pPr/>
      <w:r/>
      <w:r>
        <w:rPr>
          <w:rFonts w:ascii="Calibri" w:hAnsi="Calibri"/>
          <w:b/>
          <w:color w:val="000000"/>
        </w:rPr>
        <w:t>Acompanhamento por e-mail</w:t>
      </w:r>
      <w:r/>
    </w:p>
    <w:p>
      <w:pPr/>
      <w:r>
        <w:t>Assunto: próximos passos do piloto de atendimento</w:t>
      </w:r>
    </w:p>
    <w:p>
      <w:pPr/>
      <w:r/>
    </w:p>
    <w:p>
      <w:pPr/>
      <w:r>
        <w:t>Resumo: centralizar [canais], testar triagem administrativa e medir primeira resposta, completude e transferência de contexto. Pendências: aprovação do RT, base legal dos dados e validação de qualquer integração de agenda. Se estiver correto, proponho piloto com dados sintéticos antes do tráfego real.</w:t>
      </w:r>
    </w:p>
    <w:p>
      <w:pPr>
        <w:pStyle w:val="Heading2"/>
      </w:pPr>
      <w:r>
        <w:t>Objeções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tblHeader/>
        </w:trPr>
        <w:tc>
          <w:tcPr>
            <w:tcW w:type="dxa" w:w="28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Objeção</w:t>
            </w:r>
          </w:p>
        </w:tc>
        <w:tc>
          <w:tcPr>
            <w:tcW w:type="dxa" w:w="720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Resposta segura</w:t>
            </w:r>
          </w:p>
        </w:tc>
      </w:tr>
      <w:tr>
        <w:tc>
          <w:tcPr>
            <w:tcW w:type="dxa" w:w="28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“O bot vai orientar o paciente?”</w:t>
            </w:r>
          </w:p>
        </w:tc>
        <w:tc>
          <w:tcPr>
            <w:tcW w:type="dxa" w:w="72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Não. O escopo inicial é administrativo; orientação clínica exige profissional habilitado.</w:t>
            </w:r>
          </w:p>
        </w:tc>
      </w:tr>
      <w:tr>
        <w:tc>
          <w:tcPr>
            <w:tcW w:type="dxa" w:w="28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“Já temos WhatsApp.”</w:t>
            </w:r>
          </w:p>
        </w:tc>
        <w:tc>
          <w:tcPr>
            <w:tcW w:type="dxa" w:w="720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 diagnóstico é sobre distribuição, histórico e responsabilidade, não sobre substituir o número.</w:t>
            </w:r>
          </w:p>
        </w:tc>
      </w:tr>
      <w:tr>
        <w:tc>
          <w:tcPr>
            <w:tcW w:type="dxa" w:w="28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“Quero mostrar antes e depois.”</w:t>
            </w:r>
          </w:p>
        </w:tc>
        <w:tc>
          <w:tcPr>
            <w:tcW w:type="dxa" w:w="72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 publicação exige análise do CFO/CRO, TCLE e autoria permitida; o Hablachat não aprova conteúdo.</w:t>
            </w:r>
          </w:p>
        </w:tc>
      </w:tr>
      <w:tr>
        <w:tc>
          <w:tcPr>
            <w:tcW w:type="dxa" w:w="28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“Garanta redução de faltas.”</w:t>
            </w:r>
          </w:p>
        </w:tc>
        <w:tc>
          <w:tcPr>
            <w:tcW w:type="dxa" w:w="720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Podemos medir lembretes e comparecimento em piloto; não garantimos resultado.</w:t>
            </w:r>
          </w:p>
        </w:tc>
      </w:tr>
    </w:tbl>
    <w:p>
      <w:pPr>
        <w:spacing w:after="40"/>
      </w:pPr>
    </w:p>
    <w:p>
      <w:pPr>
        <w:pStyle w:val="Heading2"/>
      </w:pPr>
      <w:r>
        <w:t>KPIs campanhas e canais de crescimento</w:t>
      </w:r>
    </w:p>
    <w:p>
      <w:pPr/>
      <w:r/>
      <w:r>
        <w:rPr>
          <w:rFonts w:ascii="Calibri" w:hAnsi="Calibri"/>
          <w:b/>
          <w:color w:val="000000"/>
        </w:rPr>
        <w:t>KPIs:</w:t>
      </w:r>
      <w:r>
        <w:t xml:space="preserve"> tempo de primeira resposta, taxa de resposta, solicitações completas, transferência de contexto aceito, contatos por canal, opt-out, faltas apenas se houver integração e definição de medição.</w:t>
      </w:r>
    </w:p>
    <w:p>
      <w:pPr/>
      <w:r/>
      <w:r>
        <w:rPr>
          <w:rFonts w:ascii="Calibri" w:hAnsi="Calibri"/>
          <w:b/>
          <w:color w:val="000000"/>
        </w:rPr>
        <w:t>Campanhas:</w:t>
      </w:r>
      <w:r>
        <w:t xml:space="preserve"> lembrete ou reativação somente com WABA, template aprovado, base legal e revisão do RT; evitar segmentação por condição de saúde. Começar com Dry run.</w:t>
      </w:r>
    </w:p>
    <w:p>
      <w:pPr/>
      <w:r/>
      <w:r>
        <w:rPr>
          <w:rFonts w:ascii="Calibri" w:hAnsi="Calibri"/>
          <w:b/>
          <w:color w:val="000000"/>
        </w:rPr>
        <w:t>Parcerias:</w:t>
      </w:r>
      <w:r>
        <w:t xml:space="preserve"> consultorias odontológicas, fornecedores de software de gestão, agências especializadas e associações locais — sempre sem comissão ou mensagem que viole regras aplicáveis.</w:t>
      </w:r>
    </w:p>
    <w:p>
      <w:pPr/>
      <w:r/>
      <w:r>
        <w:rPr>
          <w:rFonts w:ascii="Calibri" w:hAnsi="Calibri"/>
          <w:b/>
          <w:color w:val="000000"/>
        </w:rPr>
        <w:t>Indicação:</w:t>
      </w:r>
      <w:r>
        <w:t xml:space="preserve"> pedir apresentação entre gestores, sem incentivo ligado a tratamento ou captação irregular de paciente.</w:t>
      </w:r>
    </w:p>
    <w:p>
      <w:pPr/>
      <w:r/>
      <w:r>
        <w:rPr>
          <w:rFonts w:ascii="Calibri" w:hAnsi="Calibri"/>
          <w:b/>
          <w:color w:val="000000"/>
        </w:rPr>
        <w:t>Influenciadores:</w:t>
      </w:r>
      <w:r>
        <w:t xml:space="preserve"> priorizar educação para gestores de clínica. Imagens de paciente exigem TCLE; o CFO veda promessa de resultado, sensacionalismo e divulgação do transcurso do procedimento fora de publicação científica. Clínicas pessoa jurídica não devem presumir autorização para publicar casos clínicos do profissional.</w:t>
      </w:r>
    </w:p>
    <w:p>
      <w:pPr>
        <w:pStyle w:val="Heading2"/>
      </w:pPr>
      <w:r>
        <w:t>Identidade visual e narrativa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Narrativa:</w:t>
      </w:r>
      <w:r>
        <w:t xml:space="preserve"> “acolhimento com responsabilidade e continuidade”.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Tom:</w:t>
      </w:r>
      <w:r>
        <w:t xml:space="preserve"> claro, sereno, não alarmista.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Visual:</w:t>
      </w:r>
      <w:r>
        <w:t xml:space="preserve"> azul-petróleo, verde suave, branco, ícones lineares; evitar dentes gigantes, sangue e estética promocional agressiva.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Prova:</w:t>
      </w:r>
      <w:r>
        <w:t xml:space="preserve"> processo e experiência, não transformação corporal.</w:t>
      </w:r>
    </w:p>
    <w:p>
      <w:pPr>
        <w:pStyle w:val="Heading1"/>
      </w:pPr>
      <w:r>
        <w:t>Playbook Estética</w:t>
      </w:r>
    </w:p>
    <w:p>
      <w:pPr>
        <w:pStyle w:val="Heading2"/>
      </w:pPr>
      <w:r>
        <w:t>Tese do nicho</w:t>
      </w:r>
    </w:p>
    <w:p>
      <w:pPr/>
      <w:r/>
      <w:r>
        <w:rPr>
          <w:rFonts w:ascii="Calibri" w:hAnsi="Calibri"/>
          <w:b/>
          <w:color w:val="000000"/>
        </w:rPr>
        <w:t>Hipótese:</w:t>
      </w:r>
      <w:r>
        <w:t xml:space="preserve"> operações de estética recebem alto volume de perguntas sobre procedimentos, disponibilidade e preço, mas o risco aumenta quando atendimento comercial invade orientação clínica ou promete resultados.</w:t>
      </w:r>
    </w:p>
    <w:p>
      <w:pPr>
        <w:pStyle w:val="Heading2"/>
      </w:pPr>
      <w:r>
        <w:t>Dores e buyer personas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36"/>
        <w:gridCol w:w="4015"/>
        <w:gridCol w:w="3929"/>
      </w:tblGrid>
      <w:tr>
        <w:trPr>
          <w:tblHeader/>
        </w:trPr>
        <w:tc>
          <w:tcPr>
            <w:tcW w:type="dxa" w:w="213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401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Dor provável</w:t>
            </w:r>
          </w:p>
        </w:tc>
        <w:tc>
          <w:tcPr>
            <w:tcW w:type="dxa" w:w="3929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Critério de valor</w:t>
            </w:r>
          </w:p>
        </w:tc>
      </w:tr>
      <w:tr>
        <w:tc>
          <w:tcPr>
            <w:tcW w:type="dxa" w:w="21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Proprietário(a)/gestor(a)</w:t>
            </w:r>
          </w:p>
        </w:tc>
        <w:tc>
          <w:tcPr>
            <w:tcW w:type="dxa" w:w="401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Leads dispersos e campanhas sem rastreio</w:t>
            </w:r>
          </w:p>
        </w:tc>
        <w:tc>
          <w:tcPr>
            <w:tcW w:type="dxa" w:w="392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Origem, velocidade e controle</w:t>
            </w:r>
          </w:p>
        </w:tc>
      </w:tr>
      <w:tr>
        <w:tc>
          <w:tcPr>
            <w:tcW w:type="dxa" w:w="21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Responsável técnico</w:t>
            </w:r>
          </w:p>
        </w:tc>
        <w:tc>
          <w:tcPr>
            <w:tcW w:type="dxa" w:w="401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Conteúdo e triagem fora do escopo profissional</w:t>
            </w:r>
          </w:p>
        </w:tc>
        <w:tc>
          <w:tcPr>
            <w:tcW w:type="dxa" w:w="392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Aprovação e limites de segurança</w:t>
            </w:r>
          </w:p>
        </w:tc>
      </w:tr>
      <w:tr>
        <w:tc>
          <w:tcPr>
            <w:tcW w:type="dxa" w:w="21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Consultora comercial</w:t>
            </w:r>
          </w:p>
        </w:tc>
        <w:tc>
          <w:tcPr>
            <w:tcW w:type="dxa" w:w="401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Dados incompletos e muito acompanhamento manual</w:t>
            </w:r>
          </w:p>
        </w:tc>
        <w:tc>
          <w:tcPr>
            <w:tcW w:type="dxa" w:w="392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Qualificação não clínica e tarefas</w:t>
            </w:r>
          </w:p>
        </w:tc>
      </w:tr>
      <w:tr>
        <w:tc>
          <w:tcPr>
            <w:tcW w:type="dxa" w:w="21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Recepção</w:t>
            </w:r>
          </w:p>
        </w:tc>
        <w:tc>
          <w:tcPr>
            <w:tcW w:type="dxa" w:w="401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Agendamentos, remarcações e picos</w:t>
            </w:r>
          </w:p>
        </w:tc>
        <w:tc>
          <w:tcPr>
            <w:tcW w:type="dxa" w:w="392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Fila, transferência de contexto e modo offline</w:t>
            </w:r>
          </w:p>
        </w:tc>
      </w:tr>
    </w:tbl>
    <w:p>
      <w:pPr>
        <w:spacing w:after="40"/>
      </w:pPr>
    </w:p>
    <w:p>
      <w:pPr>
        <w:pStyle w:val="Heading2"/>
      </w:pPr>
      <w:r>
        <w:t>Eventos gatilho</w:t>
      </w:r>
    </w:p>
    <w:p>
      <w:pPr>
        <w:pStyle w:val="ListBullet"/>
      </w:pPr>
      <w:r>
        <w:t>lançamento de unidade, serviço ou equipamento;</w:t>
      </w:r>
    </w:p>
    <w:p>
      <w:pPr>
        <w:pStyle w:val="ListBullet"/>
      </w:pPr>
      <w:r>
        <w:t>campanha sazonal;</w:t>
      </w:r>
    </w:p>
    <w:p>
      <w:pPr>
        <w:pStyle w:val="ListBullet"/>
      </w:pPr>
      <w:r>
        <w:t>aumento de mídia e influenciadores;</w:t>
      </w:r>
    </w:p>
    <w:p>
      <w:pPr>
        <w:pStyle w:val="ListBullet"/>
      </w:pPr>
      <w:r>
        <w:t>volume de leads sem retorno;</w:t>
      </w:r>
    </w:p>
    <w:p>
      <w:pPr>
        <w:pStyle w:val="ListBullet"/>
      </w:pPr>
      <w:r>
        <w:t>troca de equipe comercial;</w:t>
      </w:r>
    </w:p>
    <w:p>
      <w:pPr>
        <w:pStyle w:val="ListBullet"/>
      </w:pPr>
      <w:r>
        <w:t>revisão de publicidade ou uso de imagem.</w:t>
      </w:r>
    </w:p>
    <w:p>
      <w:pPr>
        <w:pStyle w:val="Heading2"/>
      </w:pPr>
      <w:r>
        <w:t>Oferta e prova de valor</w:t>
      </w:r>
    </w:p>
    <w:p>
      <w:pPr/>
      <w:r/>
      <w:r>
        <w:rPr>
          <w:rFonts w:ascii="Calibri" w:hAnsi="Calibri"/>
          <w:b/>
          <w:color w:val="000000"/>
        </w:rPr>
        <w:t>Oferta recomendada:</w:t>
      </w:r>
      <w:r>
        <w:t xml:space="preserve"> jornada digital de interesse → triagem administrativa → atendimento humano → tarefa de acompanhamento, com biblioteca de respostas aprovadas.</w:t>
      </w:r>
    </w:p>
    <w:p>
      <w:pPr/>
      <w:r/>
      <w:r>
        <w:rPr>
          <w:rFonts w:ascii="Calibri" w:hAnsi="Calibri"/>
          <w:b/>
          <w:color w:val="000000"/>
        </w:rPr>
        <w:t>Prova de valor:</w:t>
      </w:r>
      <w:r>
        <w:t xml:space="preserve"> primeira resposta, leads com preferência registrada, comparecimento quando mensurável, taxa de transferência de contexto e opt-out. Receita e procedimentos fechados são métricas do cliente, não promessa da plataforma.</w:t>
      </w:r>
    </w:p>
    <w:p>
      <w:pPr>
        <w:pStyle w:val="Heading2"/>
      </w:pPr>
      <w:r>
        <w:t>Fluxo demonstrável no AnyChat</w:t>
      </w:r>
    </w:p>
    <w:p>
      <w:pPr/>
      <w:r>
        <w:t>1. Ice Breakers: “Conhecer serviços”, “Ver horários” e “Falar com uma consultora”.</w:t>
      </w:r>
    </w:p>
    <w:p>
      <w:pPr/>
      <w:r>
        <w:t>2. Aviso: informações gerais; avaliação individual depende do profissional habilitado.</w:t>
      </w:r>
    </w:p>
    <w:p>
      <w:pPr/>
      <w:r>
        <w:t>3. Coleta nome, unidade, disponibilidade e canal de retorno; não pede histórico clínico no fluxo comercial.</w:t>
      </w:r>
    </w:p>
    <w:p>
      <w:pPr/>
      <w:r>
        <w:t>4. Condition separa unidade ou interesse geral.</w:t>
      </w:r>
    </w:p>
    <w:p>
      <w:pPr/>
      <w:r>
        <w:t>5. Invite agent transfere para atendimento.</w:t>
      </w:r>
    </w:p>
    <w:p>
      <w:pPr/>
      <w:r>
        <w:t>6. CRM cria tarefa de retorno.</w:t>
      </w:r>
    </w:p>
    <w:p>
      <w:pPr/>
      <w:r/>
      <w:r>
        <w:rPr>
          <w:rFonts w:ascii="Calibri" w:hAnsi="Calibri"/>
          <w:b/>
          <w:color w:val="000000"/>
        </w:rPr>
        <w:t>Hipótese:</w:t>
      </w:r>
      <w:r>
        <w:t xml:space="preserve"> disponibilidade e confirmação em agenda externa. Validar integração antes de demonstrar.</w:t>
      </w:r>
    </w:p>
    <w:p>
      <w:pPr>
        <w:pStyle w:val="Heading2"/>
      </w:pPr>
      <w:r>
        <w:t>Scripts</w:t>
      </w:r>
    </w:p>
    <w:p>
      <w:pPr/>
      <w:r/>
      <w:r>
        <w:rPr>
          <w:rFonts w:ascii="Calibri" w:hAnsi="Calibri"/>
          <w:b/>
          <w:color w:val="000000"/>
        </w:rPr>
        <w:t>Prospecção</w:t>
      </w:r>
      <w:r/>
    </w:p>
    <w:p>
      <w:pPr/>
      <w:r>
        <w:t>Olá, [Nome]. Vi que a operação divulga [serviço/unidade]. Em campanhas de estética, o desafio costuma ser responder rápido sem transformar o atendimento digital em diagnóstico ou promessa. A Hablachat estrutura triagem administrativa, transferência de contexto e acompanhamento. Posso mostrar um fluxo de 15 minutos com dados fictícios?</w:t>
      </w:r>
    </w:p>
    <w:p>
      <w:pPr/>
      <w:r/>
      <w:r>
        <w:rPr>
          <w:rFonts w:ascii="Calibri" w:hAnsi="Calibri"/>
          <w:b/>
          <w:color w:val="000000"/>
        </w:rPr>
        <w:t>Demo</w:t>
      </w:r>
      <w:r/>
    </w:p>
    <w:p>
      <w:pPr/>
      <w:r>
        <w:t>“A automação organiza interesse e disponibilidade. Ela não decide indicação, contraindicação ou resultado; isso permanece com o profissional habilitado.”</w:t>
      </w:r>
    </w:p>
    <w:p>
      <w:pPr/>
      <w:r/>
      <w:r>
        <w:rPr>
          <w:rFonts w:ascii="Calibri" w:hAnsi="Calibri"/>
          <w:b/>
          <w:color w:val="000000"/>
        </w:rPr>
        <w:t>WhatsApp após opt-in</w:t>
      </w:r>
      <w:r/>
    </w:p>
    <w:p>
      <w:pPr/>
      <w:r>
        <w:t>Oi, [Nome]. Você autorizou o contato sobre organização do atendimento da [empresa]. Quer receber o resumo da demonstração e opções de agenda? Responda PARAR para encerrar.</w:t>
      </w:r>
    </w:p>
    <w:p>
      <w:pPr/>
      <w:r/>
      <w:r>
        <w:rPr>
          <w:rFonts w:ascii="Calibri" w:hAnsi="Calibri"/>
          <w:b/>
          <w:color w:val="000000"/>
        </w:rPr>
        <w:t>E-mail de acompanhamento</w:t>
      </w:r>
      <w:r/>
    </w:p>
    <w:p>
      <w:pPr/>
      <w:r>
        <w:t>O piloto proposto mede tempo de resposta, completude e passagem à consultora. Antes de publicar, o responsável técnico aprova textos, promoções, imagens e consentimentos. Integração com agenda fica condicionada à validação técnica.</w:t>
      </w:r>
    </w:p>
    <w:p>
      <w:pPr>
        <w:pStyle w:val="Heading2"/>
      </w:pPr>
      <w:r>
        <w:t>Objeções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Objeção</w:t>
            </w:r>
          </w:p>
        </w:tc>
        <w:tc>
          <w:tcPr>
            <w:tcW w:type="dxa" w:w="672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Resposta segura</w:t>
            </w:r>
          </w:p>
        </w:tc>
      </w:tr>
      <w:tr>
        <w:tc>
          <w:tcPr>
            <w:tcW w:type="dxa" w:w="33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“Quero que a IA indique o procedimento.”</w:t>
            </w:r>
          </w:p>
        </w:tc>
        <w:tc>
          <w:tcPr>
            <w:tcW w:type="dxa" w:w="672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Não colocamos diagnóstico ou indicação clínica no fluxo comercial.</w:t>
            </w:r>
          </w:p>
        </w:tc>
      </w:tr>
      <w:tr>
        <w:tc>
          <w:tcPr>
            <w:tcW w:type="dxa" w:w="33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“Podemos prometer resultado?”</w:t>
            </w:r>
          </w:p>
        </w:tc>
        <w:tc>
          <w:tcPr>
            <w:tcW w:type="dxa" w:w="672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Não. O material deve evitar garantia e passar pelo responsável técnico e conselho aplicável.</w:t>
            </w:r>
          </w:p>
        </w:tc>
      </w:tr>
      <w:tr>
        <w:tc>
          <w:tcPr>
            <w:tcW w:type="dxa" w:w="33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“Quero usar antes e depois.”</w:t>
            </w:r>
          </w:p>
        </w:tc>
        <w:tc>
          <w:tcPr>
            <w:tcW w:type="dxa" w:w="672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Uso de imagem e regras variam pela profissão responsável; exigir consentimento e revisão do conselho aplicável.</w:t>
            </w:r>
          </w:p>
        </w:tc>
      </w:tr>
      <w:tr>
        <w:tc>
          <w:tcPr>
            <w:tcW w:type="dxa" w:w="33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“Quero promoção para toda a base.”</w:t>
            </w:r>
          </w:p>
        </w:tc>
        <w:tc>
          <w:tcPr>
            <w:tcW w:type="dxa" w:w="672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Campanha exige WABA, template, base legal, opt-out e revisão regulatória.</w:t>
            </w:r>
          </w:p>
        </w:tc>
      </w:tr>
    </w:tbl>
    <w:p>
      <w:pPr>
        <w:spacing w:after="40"/>
      </w:pPr>
    </w:p>
    <w:p>
      <w:pPr>
        <w:pStyle w:val="Heading2"/>
      </w:pPr>
      <w:r>
        <w:t>KPIs campanhas e canais de crescimento</w:t>
      </w:r>
    </w:p>
    <w:p>
      <w:pPr/>
      <w:r/>
      <w:r>
        <w:rPr>
          <w:rFonts w:ascii="Calibri" w:hAnsi="Calibri"/>
          <w:b/>
          <w:color w:val="000000"/>
        </w:rPr>
        <w:t>KPIs:</w:t>
      </w:r>
      <w:r>
        <w:t xml:space="preserve"> resposta, qualificação administrativa completa, transferência de contexto, agendamento mensurado, comparecimento mensurado, opt-out, reclamações e conteúdo devolvido pelo RT.</w:t>
      </w:r>
    </w:p>
    <w:p>
      <w:pPr/>
      <w:r/>
      <w:r>
        <w:rPr>
          <w:rFonts w:ascii="Calibri" w:hAnsi="Calibri"/>
          <w:b/>
          <w:color w:val="000000"/>
        </w:rPr>
        <w:t>Campanhas:</w:t>
      </w:r>
      <w:r>
        <w:t xml:space="preserve"> conteúdos educativos, lançamento de unidade e retomada consentida. Promoções são </w:t>
      </w:r>
      <w:r>
        <w:rPr>
          <w:rFonts w:ascii="Calibri" w:hAnsi="Calibri"/>
          <w:b/>
          <w:color w:val="000000"/>
        </w:rPr>
        <w:t>hipótese de uso</w:t>
      </w:r>
      <w:r>
        <w:t xml:space="preserve"> e exigem revisão do conselho da categoria responsável, CDC e responsável técnico.</w:t>
      </w:r>
    </w:p>
    <w:p>
      <w:pPr/>
      <w:r/>
      <w:r>
        <w:rPr>
          <w:rFonts w:ascii="Calibri" w:hAnsi="Calibri"/>
          <w:b/>
          <w:color w:val="000000"/>
        </w:rPr>
        <w:t>Parcerias:</w:t>
      </w:r>
      <w:r>
        <w:t xml:space="preserve"> softwares de agenda, consultorias de clínica, fotógrafos com processo de consentimento, escolas e distribuidores — sem condicionar indicação de paciente.</w:t>
      </w:r>
    </w:p>
    <w:p>
      <w:pPr/>
      <w:r/>
      <w:r>
        <w:rPr>
          <w:rFonts w:ascii="Calibri" w:hAnsi="Calibri"/>
          <w:b/>
          <w:color w:val="000000"/>
        </w:rPr>
        <w:t>Indicação:</w:t>
      </w:r>
      <w:r>
        <w:t xml:space="preserve"> programa B2B entre gestores; qualquer benefício ao consumidor deve passar por revisão jurídica e técnica.</w:t>
      </w:r>
    </w:p>
    <w:p>
      <w:pPr/>
      <w:r/>
      <w:r>
        <w:rPr>
          <w:rFonts w:ascii="Calibri" w:hAnsi="Calibri"/>
          <w:b/>
          <w:color w:val="000000"/>
        </w:rPr>
        <w:t>Influenciadores:</w:t>
      </w:r>
      <w:r>
        <w:t xml:space="preserve"> briefing por escrito, sem promessa, edição enganosa ou aconselhamento clínico; todo conteúdo deve ser aprovado antes de publicar.</w:t>
      </w:r>
    </w:p>
    <w:p>
      <w:pPr>
        <w:pStyle w:val="Heading2"/>
      </w:pPr>
      <w:r>
        <w:t>Identidade visual e narrativa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Narrativa:</w:t>
      </w:r>
      <w:r>
        <w:t xml:space="preserve"> “beleza com contexto, cuidado e atendimento responsável”.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Tom:</w:t>
      </w:r>
      <w:r>
        <w:t xml:space="preserve"> aspiracional moderado, inclusivo e não julgador.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Visual:</w:t>
      </w:r>
      <w:r>
        <w:t xml:space="preserve"> neutros quentes, ameixa ou verde sofisticado; diversidade de pessoas; evitar perfeição artificial.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Prova:</w:t>
      </w:r>
      <w:r>
        <w:t xml:space="preserve"> agilidade e processo de atendimento, não resultado físico.</w:t>
      </w:r>
    </w:p>
    <w:p>
      <w:pPr>
        <w:pStyle w:val="Heading1"/>
      </w:pPr>
      <w:r>
        <w:t>Playbook Advocacia</w:t>
      </w:r>
    </w:p>
    <w:p>
      <w:pPr>
        <w:pStyle w:val="Heading2"/>
      </w:pPr>
      <w:r>
        <w:t>Tese do nicho</w:t>
      </w:r>
    </w:p>
    <w:p>
      <w:pPr/>
      <w:r/>
      <w:r>
        <w:rPr>
          <w:rFonts w:ascii="Calibri" w:hAnsi="Calibri"/>
          <w:b/>
          <w:color w:val="000000"/>
        </w:rPr>
        <w:t>Hipótese:</w:t>
      </w:r>
      <w:r>
        <w:t xml:space="preserve"> escritórios podem organizar contatos recebidos e conteúdo informativo sem usar automação para induzir contratação, estimular litígio ou prometer êxito.</w:t>
      </w:r>
    </w:p>
    <w:p>
      <w:pPr>
        <w:pStyle w:val="Heading2"/>
      </w:pPr>
      <w:r>
        <w:t>Dores e buyer personas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30"/>
        <w:gridCol w:w="3836"/>
        <w:gridCol w:w="4014"/>
      </w:tblGrid>
      <w:tr>
        <w:trPr>
          <w:tblHeader/>
        </w:trPr>
        <w:tc>
          <w:tcPr>
            <w:tcW w:type="dxa" w:w="223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383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Dor provável</w:t>
            </w:r>
          </w:p>
        </w:tc>
        <w:tc>
          <w:tcPr>
            <w:tcW w:type="dxa" w:w="401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Critério de valor</w:t>
            </w:r>
          </w:p>
        </w:tc>
      </w:tr>
      <w:tr>
        <w:tc>
          <w:tcPr>
            <w:tcW w:type="dxa" w:w="223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Sócio(a) administrador(a)</w:t>
            </w:r>
          </w:p>
        </w:tc>
        <w:tc>
          <w:tcPr>
            <w:tcW w:type="dxa" w:w="38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Risco ético e falta de visão do atendimento</w:t>
            </w:r>
          </w:p>
        </w:tc>
        <w:tc>
          <w:tcPr>
            <w:tcW w:type="dxa" w:w="40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Sobriedade, aprovação e trilha</w:t>
            </w:r>
          </w:p>
        </w:tc>
      </w:tr>
      <w:tr>
        <w:tc>
          <w:tcPr>
            <w:tcW w:type="dxa" w:w="223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Advogado(a) responsável</w:t>
            </w:r>
          </w:p>
        </w:tc>
        <w:tc>
          <w:tcPr>
            <w:tcW w:type="dxa" w:w="38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Triagem inconsistente e interrupções</w:t>
            </w:r>
          </w:p>
        </w:tc>
        <w:tc>
          <w:tcPr>
            <w:tcW w:type="dxa" w:w="40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Coleta factual e distribuição</w:t>
            </w:r>
          </w:p>
        </w:tc>
      </w:tr>
      <w:tr>
        <w:tc>
          <w:tcPr>
            <w:tcW w:type="dxa" w:w="223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Atendimento/paralegal</w:t>
            </w:r>
          </w:p>
        </w:tc>
        <w:tc>
          <w:tcPr>
            <w:tcW w:type="dxa" w:w="38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Dados iniciais incompletos</w:t>
            </w:r>
          </w:p>
        </w:tc>
        <w:tc>
          <w:tcPr>
            <w:tcW w:type="dxa" w:w="40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Formulário mínimo e transferência de contexto</w:t>
            </w:r>
          </w:p>
        </w:tc>
      </w:tr>
      <w:tr>
        <w:tc>
          <w:tcPr>
            <w:tcW w:type="dxa" w:w="223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Marketing jurídico</w:t>
            </w:r>
          </w:p>
        </w:tc>
        <w:tc>
          <w:tcPr>
            <w:tcW w:type="dxa" w:w="38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Conteúdo sem governança</w:t>
            </w:r>
          </w:p>
        </w:tc>
        <w:tc>
          <w:tcPr>
            <w:tcW w:type="dxa" w:w="40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Calendário informativo e revisão</w:t>
            </w:r>
          </w:p>
        </w:tc>
      </w:tr>
    </w:tbl>
    <w:p>
      <w:pPr>
        <w:spacing w:after="40"/>
      </w:pPr>
    </w:p>
    <w:p>
      <w:pPr>
        <w:pStyle w:val="Heading2"/>
      </w:pPr>
      <w:r>
        <w:t>Eventos gatilho</w:t>
      </w:r>
    </w:p>
    <w:p>
      <w:pPr>
        <w:pStyle w:val="ListBullet"/>
      </w:pPr>
      <w:r>
        <w:t>crescimento do escritório ou nova área de atuação comprovada;</w:t>
      </w:r>
    </w:p>
    <w:p>
      <w:pPr>
        <w:pStyle w:val="ListBullet"/>
      </w:pPr>
      <w:r>
        <w:t>aumento de conteúdo jurídico e contatos inbound;</w:t>
      </w:r>
    </w:p>
    <w:p>
      <w:pPr>
        <w:pStyle w:val="ListBullet"/>
      </w:pPr>
      <w:r>
        <w:t>implantação de site e formulário;</w:t>
      </w:r>
    </w:p>
    <w:p>
      <w:pPr>
        <w:pStyle w:val="ListBullet"/>
      </w:pPr>
      <w:r>
        <w:t>excesso de mensagens sem classificação;</w:t>
      </w:r>
    </w:p>
    <w:p>
      <w:pPr>
        <w:pStyle w:val="ListBullet"/>
      </w:pPr>
      <w:r>
        <w:t>revisão do Provimento 205/2021;</w:t>
      </w:r>
    </w:p>
    <w:p>
      <w:pPr>
        <w:pStyle w:val="ListBullet"/>
      </w:pPr>
      <w:r>
        <w:t>necessidade de separar administrativo, financeiro e áreas jurídicas.</w:t>
      </w:r>
    </w:p>
    <w:p>
      <w:pPr>
        <w:pStyle w:val="Heading2"/>
      </w:pPr>
      <w:r>
        <w:t>Oferta e prova de valor</w:t>
      </w:r>
    </w:p>
    <w:p>
      <w:pPr/>
      <w:r/>
      <w:r>
        <w:rPr>
          <w:rFonts w:ascii="Calibri" w:hAnsi="Calibri"/>
          <w:b/>
          <w:color w:val="000000"/>
        </w:rPr>
        <w:t>Oferta recomendada:</w:t>
      </w:r>
      <w:r>
        <w:t xml:space="preserve"> recepção digital informativa + triagem factual de contatos espontâneos + roteamento por área + tarefas e SLA interno, com aprovação de sócio responsável.</w:t>
      </w:r>
    </w:p>
    <w:p>
      <w:pPr/>
      <w:r/>
      <w:r>
        <w:rPr>
          <w:rFonts w:ascii="Calibri" w:hAnsi="Calibri"/>
          <w:b/>
          <w:color w:val="000000"/>
        </w:rPr>
        <w:t>Prova de valor:</w:t>
      </w:r>
      <w:r>
        <w:t xml:space="preserve"> tempo de acolhimento, completude factual, encaminhamento correto, conflitos detectados pelo processo humano e redução de mensagens órfãs. Não medir ou prometer “causas ganhas”.</w:t>
      </w:r>
    </w:p>
    <w:p>
      <w:pPr>
        <w:pStyle w:val="Heading2"/>
      </w:pPr>
      <w:r>
        <w:t>Fluxo demonstrável no AnyChat</w:t>
      </w:r>
    </w:p>
    <w:p>
      <w:pPr/>
      <w:r>
        <w:t>1. Widget informa áreas de atuação comprovadas e canais de contato.</w:t>
      </w:r>
    </w:p>
    <w:p>
      <w:pPr/>
      <w:r>
        <w:t>2. ChatFlow avisa: conteúdo geral, sem consulta, aconselhamento ou promessa.</w:t>
      </w:r>
    </w:p>
    <w:p>
      <w:pPr/>
      <w:r>
        <w:t>3. Coleta nome, meio de retorno, assunto geral e prazo informado pelo próprio visitante.</w:t>
      </w:r>
    </w:p>
    <w:p>
      <w:pPr/>
      <w:r>
        <w:t>4. Evita solicitar narrativa extensa ou documentos sensíveis antes de validação.</w:t>
      </w:r>
    </w:p>
    <w:p>
      <w:pPr/>
      <w:r>
        <w:t>5. Condition roteia para departamento correspondente.</w:t>
      </w:r>
    </w:p>
    <w:p>
      <w:pPr/>
      <w:r>
        <w:t>6. Invite agent transfere; CRM registra tarefa.</w:t>
      </w:r>
    </w:p>
    <w:p>
      <w:pPr/>
      <w:r>
        <w:t>7. O advogado realiza conflito de interesses e aceite fora da automação.</w:t>
      </w:r>
    </w:p>
    <w:p>
      <w:pPr>
        <w:pStyle w:val="Heading2"/>
      </w:pPr>
      <w:r>
        <w:t>Scripts</w:t>
      </w:r>
    </w:p>
    <w:p>
      <w:pPr/>
      <w:r/>
      <w:r>
        <w:rPr>
          <w:rFonts w:ascii="Calibri" w:hAnsi="Calibri"/>
          <w:b/>
          <w:color w:val="000000"/>
        </w:rPr>
        <w:t>Prospecção — somente B2B institucional e sóbria</w:t>
      </w:r>
      <w:r/>
    </w:p>
    <w:p>
      <w:pPr/>
      <w:r>
        <w:t>Assunto: organização dos contatos recebidos pelo escritório</w:t>
      </w:r>
    </w:p>
    <w:p>
      <w:pPr/>
      <w:r/>
    </w:p>
    <w:p>
      <w:pPr/>
      <w:r>
        <w:t>Olá, [Nome]. Trabalho com organização de atendimento digital. A proposta não é captar clientes para o escritório, mas estruturar contatos que já chegam: aviso informativo, coleta factual mínima, distribuição interna e acompanhamento. Se esse processo estiver no plano administrativo, posso apresentar um desenho de 20 minutos para avaliação ética interna.</w:t>
      </w:r>
    </w:p>
    <w:p>
      <w:pPr/>
      <w:r/>
      <w:r>
        <w:rPr>
          <w:rFonts w:ascii="Calibri" w:hAnsi="Calibri"/>
          <w:b/>
          <w:color w:val="000000"/>
        </w:rPr>
        <w:t>Demo</w:t>
      </w:r>
      <w:r/>
    </w:p>
    <w:p>
      <w:pPr/>
      <w:r>
        <w:t>“Este fluxo não oferece consulta, prognóstico ou estímulo ao litígio. Ele acolhe um contato espontâneo e o direciona para revisão humana.”</w:t>
      </w:r>
    </w:p>
    <w:p>
      <w:pPr/>
      <w:r/>
      <w:r>
        <w:rPr>
          <w:rFonts w:ascii="Calibri" w:hAnsi="Calibri"/>
          <w:b/>
          <w:color w:val="000000"/>
        </w:rPr>
        <w:t>WhatsApp após solicitação do escritório</w:t>
      </w:r>
      <w:r/>
    </w:p>
    <w:p>
      <w:pPr/>
      <w:r>
        <w:t>Olá, [Nome]. Conforme sua solicitação, envio o material administrativo sobre organização de contatos digitais. Não se trata de proposta jurídica ao público. Posso agendar a revisão com o sócio responsável?</w:t>
      </w:r>
    </w:p>
    <w:p>
      <w:pPr/>
      <w:r/>
      <w:r>
        <w:rPr>
          <w:rFonts w:ascii="Calibri" w:hAnsi="Calibri"/>
          <w:b/>
          <w:color w:val="000000"/>
        </w:rPr>
        <w:t>Acompanhamento</w:t>
      </w:r>
      <w:r/>
    </w:p>
    <w:p>
      <w:pPr/>
      <w:r>
        <w:t>Pendências para piloto: aprovação do responsável pela publicidade, textos informativos, campos mínimos, rotina de conflito e retenção. O conteúdo não incluirá honorários, descontos, comparação, autoengrandecimento ou promessa de resultado.</w:t>
      </w:r>
    </w:p>
    <w:p>
      <w:pPr>
        <w:pStyle w:val="Heading2"/>
      </w:pPr>
      <w:r>
        <w:t>Objeções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24"/>
        <w:gridCol w:w="6556"/>
      </w:tblGrid>
      <w:tr>
        <w:trPr>
          <w:tblHeader/>
        </w:trPr>
        <w:tc>
          <w:tcPr>
            <w:tcW w:type="dxa" w:w="352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Objeção</w:t>
            </w:r>
          </w:p>
        </w:tc>
        <w:tc>
          <w:tcPr>
            <w:tcW w:type="dxa" w:w="655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Resposta segura</w:t>
            </w:r>
          </w:p>
        </w:tc>
      </w:tr>
      <w:tr>
        <w:tc>
          <w:tcPr>
            <w:tcW w:type="dxa" w:w="352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“O bot pode dizer se a pessoa tem direito?”</w:t>
            </w:r>
          </w:p>
        </w:tc>
        <w:tc>
          <w:tcPr>
            <w:tcW w:type="dxa" w:w="655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Não. Isso é análise jurídica e exige advogado.</w:t>
            </w:r>
          </w:p>
        </w:tc>
      </w:tr>
      <w:tr>
        <w:tc>
          <w:tcPr>
            <w:tcW w:type="dxa" w:w="352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“Podemos prospectar vítimas de um evento?”</w:t>
            </w:r>
          </w:p>
        </w:tc>
        <w:tc>
          <w:tcPr>
            <w:tcW w:type="dxa" w:w="655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Não desenhamos captação ativa ou estímulo ao litígio.</w:t>
            </w:r>
          </w:p>
        </w:tc>
      </w:tr>
      <w:tr>
        <w:tc>
          <w:tcPr>
            <w:tcW w:type="dxa" w:w="352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“Vamos anunciar preço baixo.”</w:t>
            </w:r>
          </w:p>
        </w:tc>
        <w:tc>
          <w:tcPr>
            <w:tcW w:type="dxa" w:w="655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 Provimento 205 veda referência a honorários, descontos ou gratuidade como captação.</w:t>
            </w:r>
          </w:p>
        </w:tc>
      </w:tr>
      <w:tr>
        <w:tc>
          <w:tcPr>
            <w:tcW w:type="dxa" w:w="352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“Use casos ganhos como prova.”</w:t>
            </w:r>
          </w:p>
        </w:tc>
        <w:tc>
          <w:tcPr>
            <w:tcW w:type="dxa" w:w="655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 OAB restringe referência a decisões e resultados; conteúdo exige revisão ética.</w:t>
            </w:r>
          </w:p>
        </w:tc>
      </w:tr>
    </w:tbl>
    <w:p>
      <w:pPr>
        <w:spacing w:after="40"/>
      </w:pPr>
    </w:p>
    <w:p>
      <w:pPr>
        <w:pStyle w:val="Heading2"/>
      </w:pPr>
      <w:r>
        <w:t>KPIs campanhas e canais de crescimento</w:t>
      </w:r>
    </w:p>
    <w:p>
      <w:pPr/>
      <w:r/>
      <w:r>
        <w:rPr>
          <w:rFonts w:ascii="Calibri" w:hAnsi="Calibri"/>
          <w:b/>
          <w:color w:val="000000"/>
        </w:rPr>
        <w:t>KPIs:</w:t>
      </w:r>
      <w:r>
        <w:t xml:space="preserve"> contatos inbound acolhidos, completude, roteamento, tempo interno, tarefas concluídas, opt-out e incidentes éticos. Nunca usar taxa de êxito jurídico como peça publicitária.</w:t>
      </w:r>
    </w:p>
    <w:p>
      <w:pPr/>
      <w:r/>
      <w:r>
        <w:rPr>
          <w:rFonts w:ascii="Calibri" w:hAnsi="Calibri"/>
          <w:b/>
          <w:color w:val="000000"/>
        </w:rPr>
        <w:t>Campanhas:</w:t>
      </w:r>
      <w:r>
        <w:t xml:space="preserve"> evitar campanha comercial de captação. Priorizar boletim jurídico a assinantes, convites para conteúdo e atualizações informativas, sempre com sobriedade e opt-out. O Provimento 205 permite marketing jurídico dentro de limites, sem mercantilização ou captação.</w:t>
      </w:r>
    </w:p>
    <w:p>
      <w:pPr/>
      <w:r/>
      <w:r>
        <w:rPr>
          <w:rFonts w:ascii="Calibri" w:hAnsi="Calibri"/>
          <w:b/>
          <w:color w:val="000000"/>
        </w:rPr>
        <w:t>Parcerias:</w:t>
      </w:r>
      <w:r>
        <w:t xml:space="preserve"> eventos e conteúdo com entidades empresariais, universidades e profissionais complementares, sem comissão por cliente ou abordagem indiscriminada.</w:t>
      </w:r>
    </w:p>
    <w:p>
      <w:pPr/>
      <w:r/>
      <w:r>
        <w:rPr>
          <w:rFonts w:ascii="Calibri" w:hAnsi="Calibri"/>
          <w:b/>
          <w:color w:val="000000"/>
        </w:rPr>
        <w:t>Indicação:</w:t>
      </w:r>
      <w:r>
        <w:t xml:space="preserve"> relacionamento profissional orgânico; não criar recompensa por contratação jurídica.</w:t>
      </w:r>
    </w:p>
    <w:p>
      <w:pPr/>
      <w:r/>
      <w:r>
        <w:rPr>
          <w:rFonts w:ascii="Calibri" w:hAnsi="Calibri"/>
          <w:b/>
          <w:color w:val="000000"/>
        </w:rPr>
        <w:t>Influenciadores:</w:t>
      </w:r>
      <w:r>
        <w:t xml:space="preserve"> especialistas jurídicos identificados, pauta educativa, títulos comprováveis e aprovação do sócio; vedar chamada sensacionalista, comparação e indução à contratação.</w:t>
      </w:r>
    </w:p>
    <w:p>
      <w:pPr>
        <w:pStyle w:val="Heading2"/>
      </w:pPr>
      <w:r>
        <w:t>Identidade visual e narrativa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Narrativa:</w:t>
      </w:r>
      <w:r>
        <w:t xml:space="preserve"> “informação clara, discrição e resposta responsável”.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Tom:</w:t>
      </w:r>
      <w:r>
        <w:t xml:space="preserve"> sóbrio, objetivo e educativo.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Visual:</w:t>
      </w:r>
      <w:r>
        <w:t xml:space="preserve"> azul-marinho, grafite e off-white; tipografia editorial; evitar martelo de juiz, urgência artificial e selos de “melhor”.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Prova:</w:t>
      </w:r>
      <w:r>
        <w:t xml:space="preserve"> governança do atendimento, não êxito processual.</w:t>
      </w:r>
    </w:p>
    <w:p>
      <w:pPr/>
      <w:r>
        <w:t xml:space="preserve">Referência: </w:t>
      </w:r>
      <w:hyperlink r:id="rId19">
        <w:r>
          <w:rPr>
            <w:color w:val="0563C1"/>
          </w:rPr>
          <w:t>Provimento OAB 205/2021</w:t>
        </w:r>
      </w:hyperlink>
      <w:r>
        <w:t>.</w:t>
      </w:r>
    </w:p>
    <w:p>
      <w:pPr>
        <w:pStyle w:val="Heading1"/>
      </w:pPr>
      <w:r>
        <w:t>Playbook Imobiliárias</w:t>
      </w:r>
    </w:p>
    <w:p>
      <w:pPr>
        <w:pStyle w:val="Heading2"/>
      </w:pPr>
      <w:r>
        <w:t>Tese do nicho</w:t>
      </w:r>
    </w:p>
    <w:p>
      <w:pPr/>
      <w:r/>
      <w:r>
        <w:rPr>
          <w:rFonts w:ascii="Calibri" w:hAnsi="Calibri"/>
          <w:b/>
          <w:color w:val="000000"/>
        </w:rPr>
        <w:t>Hipótese:</w:t>
      </w:r>
      <w:r>
        <w:t xml:space="preserve"> imobiliárias perdem contexto entre portal, site, WhatsApp e redes sociais; um fluxo pode registrar intenção, faixa, região e prazo, encaminhando ao corretor sem inventar disponibilidade ou condições.</w:t>
      </w:r>
    </w:p>
    <w:p>
      <w:pPr>
        <w:pStyle w:val="Heading2"/>
      </w:pPr>
      <w:r>
        <w:t>Dores e buyer personas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96"/>
        <w:gridCol w:w="4320"/>
        <w:gridCol w:w="3264"/>
      </w:tblGrid>
      <w:tr>
        <w:trPr>
          <w:tblHeader/>
        </w:trPr>
        <w:tc>
          <w:tcPr>
            <w:tcW w:type="dxa" w:w="249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432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Dor provável</w:t>
            </w:r>
          </w:p>
        </w:tc>
        <w:tc>
          <w:tcPr>
            <w:tcW w:type="dxa" w:w="326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Critério de valor</w:t>
            </w:r>
          </w:p>
        </w:tc>
      </w:tr>
      <w:tr>
        <w:tc>
          <w:tcPr>
            <w:tcW w:type="dxa" w:w="249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Diretor(a)/proprietário(a)</w:t>
            </w:r>
          </w:p>
        </w:tc>
        <w:tc>
          <w:tcPr>
            <w:tcW w:type="dxa" w:w="432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Leads caros e sem dono</w:t>
            </w:r>
          </w:p>
        </w:tc>
        <w:tc>
          <w:tcPr>
            <w:tcW w:type="dxa" w:w="326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Distribuição e rastreabilidade</w:t>
            </w:r>
          </w:p>
        </w:tc>
      </w:tr>
      <w:tr>
        <w:tc>
          <w:tcPr>
            <w:tcW w:type="dxa" w:w="249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Gerente comercial</w:t>
            </w:r>
          </w:p>
        </w:tc>
        <w:tc>
          <w:tcPr>
            <w:tcW w:type="dxa" w:w="432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Revezamento manual e acompanhamento irregular</w:t>
            </w:r>
          </w:p>
        </w:tc>
        <w:tc>
          <w:tcPr>
            <w:tcW w:type="dxa" w:w="326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Fila, departamentos e tarefas</w:t>
            </w:r>
          </w:p>
        </w:tc>
      </w:tr>
      <w:tr>
        <w:tc>
          <w:tcPr>
            <w:tcW w:type="dxa" w:w="249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Corretor(a)</w:t>
            </w:r>
          </w:p>
        </w:tc>
        <w:tc>
          <w:tcPr>
            <w:tcW w:type="dxa" w:w="432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Lead sem contexto e imóvel indisponível</w:t>
            </w:r>
          </w:p>
        </w:tc>
        <w:tc>
          <w:tcPr>
            <w:tcW w:type="dxa" w:w="326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Dados mínimos e atualização</w:t>
            </w:r>
          </w:p>
        </w:tc>
      </w:tr>
      <w:tr>
        <w:tc>
          <w:tcPr>
            <w:tcW w:type="dxa" w:w="249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Marketing</w:t>
            </w:r>
          </w:p>
        </w:tc>
        <w:tc>
          <w:tcPr>
            <w:tcW w:type="dxa" w:w="432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Muitos canais e origem pouco clara</w:t>
            </w:r>
          </w:p>
        </w:tc>
        <w:tc>
          <w:tcPr>
            <w:tcW w:type="dxa" w:w="326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Atribuição e campanhas consentidas</w:t>
            </w:r>
          </w:p>
        </w:tc>
      </w:tr>
      <w:tr>
        <w:tc>
          <w:tcPr>
            <w:tcW w:type="dxa" w:w="249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Locação/financeiro</w:t>
            </w:r>
          </w:p>
        </w:tc>
        <w:tc>
          <w:tcPr>
            <w:tcW w:type="dxa" w:w="432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Demandas misturadas com vendas</w:t>
            </w:r>
          </w:p>
        </w:tc>
        <w:tc>
          <w:tcPr>
            <w:tcW w:type="dxa" w:w="326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Departamentos separados</w:t>
            </w:r>
          </w:p>
        </w:tc>
      </w:tr>
    </w:tbl>
    <w:p>
      <w:pPr>
        <w:spacing w:after="40"/>
      </w:pPr>
    </w:p>
    <w:p>
      <w:pPr>
        <w:pStyle w:val="Heading2"/>
      </w:pPr>
      <w:r>
        <w:t>Eventos gatilho</w:t>
      </w:r>
    </w:p>
    <w:p>
      <w:pPr>
        <w:pStyle w:val="ListBullet"/>
      </w:pPr>
      <w:r>
        <w:t>lançamento imobiliário;</w:t>
      </w:r>
    </w:p>
    <w:p>
      <w:pPr>
        <w:pStyle w:val="ListBullet"/>
      </w:pPr>
      <w:r>
        <w:t>expansão da carteira ou região;</w:t>
      </w:r>
    </w:p>
    <w:p>
      <w:pPr>
        <w:pStyle w:val="ListBullet"/>
      </w:pPr>
      <w:r>
        <w:t>aumento de portais/mídia;</w:t>
      </w:r>
    </w:p>
    <w:p>
      <w:pPr>
        <w:pStyle w:val="ListBullet"/>
      </w:pPr>
      <w:r>
        <w:t>plantões e atendimento fora do horário;</w:t>
      </w:r>
    </w:p>
    <w:p>
      <w:pPr>
        <w:pStyle w:val="ListBullet"/>
      </w:pPr>
      <w:r>
        <w:t>alto volume sem resposta;</w:t>
      </w:r>
    </w:p>
    <w:p>
      <w:pPr>
        <w:pStyle w:val="ListBullet"/>
      </w:pPr>
      <w:r>
        <w:t>implantação de CRM ou revisão de distribuição.</w:t>
      </w:r>
    </w:p>
    <w:p>
      <w:pPr>
        <w:pStyle w:val="Heading2"/>
      </w:pPr>
      <w:r>
        <w:t>Oferta e prova de valor</w:t>
      </w:r>
    </w:p>
    <w:p>
      <w:pPr/>
      <w:r/>
      <w:r>
        <w:rPr>
          <w:rFonts w:ascii="Calibri" w:hAnsi="Calibri"/>
          <w:b/>
          <w:color w:val="000000"/>
        </w:rPr>
        <w:t>Oferta recomendada:</w:t>
      </w:r>
      <w:r>
        <w:t xml:space="preserve"> recepção multicanal + qualificação por intenção e região + encaminhamento por equipe + tarefas de retorno + campanha WABA consentida.</w:t>
      </w:r>
    </w:p>
    <w:p>
      <w:pPr/>
      <w:r/>
      <w:r>
        <w:rPr>
          <w:rFonts w:ascii="Calibri" w:hAnsi="Calibri"/>
          <w:b/>
          <w:color w:val="000000"/>
        </w:rPr>
        <w:t>Prova de valor:</w:t>
      </w:r>
      <w:r>
        <w:t xml:space="preserve"> tempo de resposta, leads com perfil completo, aceite de transferência de contexto, contato efetivo, visita agendada quando comprovada e taxa de imóveis/dados desatualizados identificados.</w:t>
      </w:r>
    </w:p>
    <w:p>
      <w:pPr>
        <w:pStyle w:val="Heading2"/>
      </w:pPr>
      <w:r>
        <w:t>Fluxo demonstrável no AnyChat</w:t>
      </w:r>
    </w:p>
    <w:p>
      <w:pPr/>
      <w:r>
        <w:t>1. Visitante escolhe comprar, alugar, anunciar ou falar sobre contrato/financeiro.</w:t>
      </w:r>
    </w:p>
    <w:p>
      <w:pPr/>
      <w:r>
        <w:t>2. ChatFlow coleta região, tipo, faixa declarada e prazo.</w:t>
      </w:r>
    </w:p>
    <w:p>
      <w:pPr/>
      <w:r>
        <w:t>3. Condition separa Vendas, Locação ou Financeiro.</w:t>
      </w:r>
    </w:p>
    <w:p>
      <w:pPr/>
      <w:r>
        <w:t>4. Invite agent direciona ao departamento.</w:t>
      </w:r>
    </w:p>
    <w:p>
      <w:pPr/>
      <w:r>
        <w:t>5. Fora do horário, registra formulário.</w:t>
      </w:r>
    </w:p>
    <w:p>
      <w:pPr/>
      <w:r>
        <w:t>6. CRM cria tarefa ou reunião para visita.</w:t>
      </w:r>
    </w:p>
    <w:p>
      <w:pPr/>
      <w:r/>
      <w:r>
        <w:rPr>
          <w:rFonts w:ascii="Calibri" w:hAnsi="Calibri"/>
          <w:b/>
          <w:color w:val="000000"/>
        </w:rPr>
        <w:t>Hipótese:</w:t>
      </w:r>
      <w:r>
        <w:t xml:space="preserve"> consulta automática de estoque e agenda. Exige fonte atualizada, webhook/API homologado e fallback quando a informação não estiver disponível.</w:t>
      </w:r>
    </w:p>
    <w:p>
      <w:pPr>
        <w:pStyle w:val="Heading2"/>
      </w:pPr>
      <w:r>
        <w:t>Scripts</w:t>
      </w:r>
    </w:p>
    <w:p>
      <w:pPr/>
      <w:r/>
      <w:r>
        <w:rPr>
          <w:rFonts w:ascii="Calibri" w:hAnsi="Calibri"/>
          <w:b/>
          <w:color w:val="000000"/>
        </w:rPr>
        <w:t>Prospecção</w:t>
      </w:r>
      <w:r/>
    </w:p>
    <w:p>
      <w:pPr/>
      <w:r>
        <w:t>Assunto: distribuição de leads de vendas, locação e financeiro</w:t>
      </w:r>
    </w:p>
    <w:p>
      <w:pPr/>
      <w:r/>
    </w:p>
    <w:p>
      <w:pPr/>
      <w:r>
        <w:t>Olá, [Nome]. Vi que a imobiliária atua em [região/canais]. Minha hipótese é que contatos de compra, locação e pós-venda entram misturados e chegam ao corretor com pouco contexto. A Hablachat organiza a entrada, qualifica por critérios objetivos e direciona ao time correto. Vale mapear o fluxo em 20 minutos?</w:t>
      </w:r>
    </w:p>
    <w:p>
      <w:pPr/>
      <w:r/>
      <w:r>
        <w:rPr>
          <w:rFonts w:ascii="Calibri" w:hAnsi="Calibri"/>
          <w:b/>
          <w:color w:val="000000"/>
        </w:rPr>
        <w:t>Demo</w:t>
      </w:r>
      <w:r/>
    </w:p>
    <w:p>
      <w:pPr/>
      <w:r>
        <w:t>“O fluxo registra preferência declarada e encaminha. Disponibilidade, preço, condição e características do imóvel continuam vindo da fonte oficial e da validação do corretor.”</w:t>
      </w:r>
    </w:p>
    <w:p>
      <w:pPr/>
      <w:r/>
      <w:r>
        <w:rPr>
          <w:rFonts w:ascii="Calibri" w:hAnsi="Calibri"/>
          <w:b/>
          <w:color w:val="000000"/>
        </w:rPr>
        <w:t>WhatsApp após opt-in</w:t>
      </w:r>
      <w:r/>
    </w:p>
    <w:p>
      <w:pPr/>
      <w:r>
        <w:t>Olá, [Nome]. Você pediu informações sobre o atendimento da imobiliária. Posso confirmar se sua prioridade é compra, locação ou anúncio de imóvel? Para parar as mensagens, responda PARAR.</w:t>
      </w:r>
    </w:p>
    <w:p>
      <w:pPr/>
      <w:r/>
      <w:r>
        <w:rPr>
          <w:rFonts w:ascii="Calibri" w:hAnsi="Calibri"/>
          <w:b/>
          <w:color w:val="000000"/>
        </w:rPr>
        <w:t>Acompanhamento</w:t>
      </w:r>
      <w:r/>
    </w:p>
    <w:p>
      <w:pPr/>
      <w:r>
        <w:t>O piloto vai medir resposta, completude e encaminhamento. Antes de conectar estoque ou agenda, validaremos origem, atualização, fallback e responsabilidade pelos dados anunciados.</w:t>
      </w:r>
    </w:p>
    <w:p>
      <w:pPr>
        <w:pStyle w:val="Heading2"/>
      </w:pPr>
      <w:r>
        <w:t>Objeções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71"/>
        <w:gridCol w:w="6109"/>
      </w:tblGrid>
      <w:tr>
        <w:trPr>
          <w:tblHeader/>
        </w:trPr>
        <w:tc>
          <w:tcPr>
            <w:tcW w:type="dxa" w:w="397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Objeção</w:t>
            </w:r>
          </w:p>
        </w:tc>
        <w:tc>
          <w:tcPr>
            <w:tcW w:type="dxa" w:w="6109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Resposta segura</w:t>
            </w:r>
          </w:p>
        </w:tc>
      </w:tr>
      <w:tr>
        <w:tc>
          <w:tcPr>
            <w:tcW w:type="dxa" w:w="397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“Nosso portal já gera leads.”</w:t>
            </w:r>
          </w:p>
        </w:tc>
        <w:tc>
          <w:tcPr>
            <w:tcW w:type="dxa" w:w="610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 foco é distribuir e acompanhar o que chega, preservando origem e contexto.</w:t>
            </w:r>
          </w:p>
        </w:tc>
      </w:tr>
      <w:tr>
        <w:tc>
          <w:tcPr>
            <w:tcW w:type="dxa" w:w="397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“O bot pode confirmar que o imóvel está disponível.”</w:t>
            </w:r>
          </w:p>
        </w:tc>
        <w:tc>
          <w:tcPr>
            <w:tcW w:type="dxa" w:w="610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Só após integração homologada com fonte atualizada; caso contrário, deve informar que o corretor confirmará.</w:t>
            </w:r>
          </w:p>
        </w:tc>
      </w:tr>
      <w:tr>
        <w:tc>
          <w:tcPr>
            <w:tcW w:type="dxa" w:w="397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“Quero criar urgência com poucas unidades.”</w:t>
            </w:r>
          </w:p>
        </w:tc>
        <w:tc>
          <w:tcPr>
            <w:tcW w:type="dxa" w:w="610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Escassez só pode ser comunicada se verdadeira, atual e comprovável.</w:t>
            </w:r>
          </w:p>
        </w:tc>
      </w:tr>
      <w:tr>
        <w:tc>
          <w:tcPr>
            <w:tcW w:type="dxa" w:w="397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“Distribua pelo perfil financeiro.”</w:t>
            </w:r>
          </w:p>
        </w:tc>
        <w:tc>
          <w:tcPr>
            <w:tcW w:type="dxa" w:w="610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Evite discriminação e dados excessivos; use critérios comerciais transparentes e aprovados.</w:t>
            </w:r>
          </w:p>
        </w:tc>
      </w:tr>
    </w:tbl>
    <w:p>
      <w:pPr>
        <w:spacing w:after="40"/>
      </w:pPr>
    </w:p>
    <w:p>
      <w:pPr>
        <w:pStyle w:val="Heading2"/>
      </w:pPr>
      <w:r>
        <w:t>KPIs campanhas e canais de crescimento</w:t>
      </w:r>
    </w:p>
    <w:p>
      <w:pPr/>
      <w:r/>
      <w:r>
        <w:rPr>
          <w:rFonts w:ascii="Calibri" w:hAnsi="Calibri"/>
          <w:b/>
          <w:color w:val="000000"/>
        </w:rPr>
        <w:t>KPIs:</w:t>
      </w:r>
      <w:r>
        <w:t xml:space="preserve"> resposta, completude, roteamento, contato efetivo, visita agendada, no-show, opt-out, divergência de anúncio e tarefas vencidas.</w:t>
      </w:r>
    </w:p>
    <w:p>
      <w:pPr/>
      <w:r/>
      <w:r>
        <w:rPr>
          <w:rFonts w:ascii="Calibri" w:hAnsi="Calibri"/>
          <w:b/>
          <w:color w:val="000000"/>
        </w:rPr>
        <w:t>Campanhas:</w:t>
      </w:r>
      <w:r>
        <w:t xml:space="preserve"> lançamento, atualização de busca e retomada de interessados consentidos via WABA. Templates e listas precisam de aprovação, base legal e opt-out.</w:t>
      </w:r>
    </w:p>
    <w:p>
      <w:pPr/>
      <w:r/>
      <w:r>
        <w:rPr>
          <w:rFonts w:ascii="Calibri" w:hAnsi="Calibri"/>
          <w:b/>
          <w:color w:val="000000"/>
        </w:rPr>
        <w:t>Parcerias:</w:t>
      </w:r>
      <w:r>
        <w:t xml:space="preserve"> construtoras, administradoras, despachantes, fotógrafos e correspondentes — com transparência, sem promessa de crédito e revisão de regras específicas.</w:t>
      </w:r>
    </w:p>
    <w:p>
      <w:pPr/>
      <w:r/>
      <w:r>
        <w:rPr>
          <w:rFonts w:ascii="Calibri" w:hAnsi="Calibri"/>
          <w:b/>
          <w:color w:val="000000"/>
        </w:rPr>
        <w:t>Indicação:</w:t>
      </w:r>
      <w:r>
        <w:t xml:space="preserve"> clientes e parceiros podem apresentar contatos com permissão; não importar listas de terceiros sem base legal.</w:t>
      </w:r>
    </w:p>
    <w:p>
      <w:pPr/>
      <w:r/>
      <w:r>
        <w:rPr>
          <w:rFonts w:ascii="Calibri" w:hAnsi="Calibri"/>
          <w:b/>
          <w:color w:val="000000"/>
        </w:rPr>
        <w:t>Influenciadores:</w:t>
      </w:r>
      <w:r>
        <w:t xml:space="preserve"> especialistas locais e de moradia; exigir dados rigorosamente certos e validação do corretor. O Código de Ética citado pelo COFECI exige conhecer circunstâncias do negócio e apresentar dados corretos, sem omitir riscos.</w:t>
      </w:r>
    </w:p>
    <w:p>
      <w:pPr>
        <w:pStyle w:val="Heading2"/>
      </w:pPr>
      <w:r>
        <w:t>Identidade visual e narrativa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Narrativa:</w:t>
      </w:r>
      <w:r>
        <w:t xml:space="preserve"> “o contato certo chega ao especialista certo, com contexto”.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Tom:</w:t>
      </w:r>
      <w:r>
        <w:t xml:space="preserve"> local, confiável e transparente.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Visual:</w:t>
      </w:r>
      <w:r>
        <w:t xml:space="preserve"> azul, terracota e areia; mapas e arquitetura real; evitar luxo genérico para todo público.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Prova:</w:t>
      </w:r>
      <w:r>
        <w:t xml:space="preserve"> velocidade, distribuição e qualidade do cadastro.</w:t>
      </w:r>
    </w:p>
    <w:p>
      <w:pPr/>
      <w:r>
        <w:t xml:space="preserve">Referência: </w:t>
      </w:r>
      <w:hyperlink r:id="rId22">
        <w:r>
          <w:rPr>
            <w:color w:val="0563C1"/>
          </w:rPr>
          <w:t>orientação COFECI sobre dados corretos do negócio</w:t>
        </w:r>
      </w:hyperlink>
      <w:r>
        <w:t>.</w:t>
      </w:r>
    </w:p>
    <w:p>
      <w:pPr>
        <w:pStyle w:val="Heading1"/>
      </w:pPr>
      <w:r>
        <w:t>Playbook Contabilidade</w:t>
      </w:r>
    </w:p>
    <w:p>
      <w:pPr>
        <w:pStyle w:val="Heading2"/>
      </w:pPr>
      <w:r>
        <w:t>Tese do nicho</w:t>
      </w:r>
    </w:p>
    <w:p>
      <w:pPr/>
      <w:r/>
      <w:r>
        <w:rPr>
          <w:rFonts w:ascii="Calibri" w:hAnsi="Calibri"/>
          <w:b/>
          <w:color w:val="000000"/>
        </w:rPr>
        <w:t>Hipótese:</w:t>
      </w:r>
      <w:r>
        <w:t xml:space="preserve"> escritórios contábeis podem separar novos negócios, documentos, folha, fiscal e financeiro, reduzindo mensagens órfãs sem automatizar conclusão tributária.</w:t>
      </w:r>
    </w:p>
    <w:p>
      <w:pPr>
        <w:pStyle w:val="Heading2"/>
      </w:pPr>
      <w:r>
        <w:t>Dores e buyer personas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87"/>
        <w:gridCol w:w="4107"/>
        <w:gridCol w:w="2987"/>
      </w:tblGrid>
      <w:tr>
        <w:trPr>
          <w:tblHeader/>
        </w:trPr>
        <w:tc>
          <w:tcPr>
            <w:tcW w:type="dxa" w:w="298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410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Dor provável</w:t>
            </w:r>
          </w:p>
        </w:tc>
        <w:tc>
          <w:tcPr>
            <w:tcW w:type="dxa" w:w="298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Critério de valor</w:t>
            </w:r>
          </w:p>
        </w:tc>
      </w:tr>
      <w:tr>
        <w:tc>
          <w:tcPr>
            <w:tcW w:type="dxa" w:w="29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Sócio(a)/contador(a) responsável</w:t>
            </w:r>
          </w:p>
        </w:tc>
        <w:tc>
          <w:tcPr>
            <w:tcW w:type="dxa" w:w="410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Risco, prazos e excesso de interrupções</w:t>
            </w:r>
          </w:p>
        </w:tc>
        <w:tc>
          <w:tcPr>
            <w:tcW w:type="dxa" w:w="29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Governança e aprovação técnica</w:t>
            </w:r>
          </w:p>
        </w:tc>
      </w:tr>
      <w:tr>
        <w:tc>
          <w:tcPr>
            <w:tcW w:type="dxa" w:w="298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Gestor(a) de operações</w:t>
            </w:r>
          </w:p>
        </w:tc>
        <w:tc>
          <w:tcPr>
            <w:tcW w:type="dxa" w:w="410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Demandas dispersas por cliente</w:t>
            </w:r>
          </w:p>
        </w:tc>
        <w:tc>
          <w:tcPr>
            <w:tcW w:type="dxa" w:w="298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Departamentos, tickets e tarefas</w:t>
            </w:r>
          </w:p>
        </w:tc>
      </w:tr>
      <w:tr>
        <w:tc>
          <w:tcPr>
            <w:tcW w:type="dxa" w:w="29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Comercial</w:t>
            </w:r>
          </w:p>
        </w:tc>
        <w:tc>
          <w:tcPr>
            <w:tcW w:type="dxa" w:w="410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Leads sem dados de porte e necessidade</w:t>
            </w:r>
          </w:p>
        </w:tc>
        <w:tc>
          <w:tcPr>
            <w:tcW w:type="dxa" w:w="29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Qualificação factual</w:t>
            </w:r>
          </w:p>
        </w:tc>
      </w:tr>
      <w:tr>
        <w:tc>
          <w:tcPr>
            <w:tcW w:type="dxa" w:w="298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Fiscal/DP/contábil</w:t>
            </w:r>
          </w:p>
        </w:tc>
        <w:tc>
          <w:tcPr>
            <w:tcW w:type="dxa" w:w="410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Mensagens incompletas e urgências misturadas</w:t>
            </w:r>
          </w:p>
        </w:tc>
        <w:tc>
          <w:tcPr>
            <w:tcW w:type="dxa" w:w="298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Classificação e SLA interno</w:t>
            </w:r>
          </w:p>
        </w:tc>
      </w:tr>
      <w:tr>
        <w:tc>
          <w:tcPr>
            <w:tcW w:type="dxa" w:w="29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Cliente empresário</w:t>
            </w:r>
          </w:p>
        </w:tc>
        <w:tc>
          <w:tcPr>
            <w:tcW w:type="dxa" w:w="410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Não sabe para quem enviar cada demanda</w:t>
            </w:r>
          </w:p>
        </w:tc>
        <w:tc>
          <w:tcPr>
            <w:tcW w:type="dxa" w:w="29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Porta única e status claro</w:t>
            </w:r>
          </w:p>
        </w:tc>
      </w:tr>
    </w:tbl>
    <w:p>
      <w:pPr>
        <w:spacing w:after="40"/>
      </w:pPr>
    </w:p>
    <w:p>
      <w:pPr>
        <w:pStyle w:val="Heading2"/>
      </w:pPr>
      <w:r>
        <w:t>Eventos gatilho</w:t>
      </w:r>
    </w:p>
    <w:p>
      <w:pPr>
        <w:pStyle w:val="ListBullet"/>
      </w:pPr>
      <w:r>
        <w:t>período fiscal, folha, declaração ou mudança normativa;</w:t>
      </w:r>
    </w:p>
    <w:p>
      <w:pPr>
        <w:pStyle w:val="ListBullet"/>
      </w:pPr>
      <w:r>
        <w:t>crescimento da carteira;</w:t>
      </w:r>
    </w:p>
    <w:p>
      <w:pPr>
        <w:pStyle w:val="ListBullet"/>
      </w:pPr>
      <w:r>
        <w:t>contratação de equipe;</w:t>
      </w:r>
    </w:p>
    <w:p>
      <w:pPr>
        <w:pStyle w:val="ListBullet"/>
      </w:pPr>
      <w:r>
        <w:t>implantação de BPO financeiro;</w:t>
      </w:r>
    </w:p>
    <w:p>
      <w:pPr>
        <w:pStyle w:val="ListBullet"/>
      </w:pPr>
      <w:r>
        <w:t>mensagens e documentos em números pessoais;</w:t>
      </w:r>
    </w:p>
    <w:p>
      <w:pPr>
        <w:pStyle w:val="ListBullet"/>
      </w:pPr>
      <w:r>
        <w:t>revisão de segurança e LGPD.</w:t>
      </w:r>
    </w:p>
    <w:p>
      <w:pPr>
        <w:pStyle w:val="Heading2"/>
      </w:pPr>
      <w:r>
        <w:t>Oferta e prova de valor</w:t>
      </w:r>
    </w:p>
    <w:p>
      <w:pPr/>
      <w:r/>
      <w:r>
        <w:rPr>
          <w:rFonts w:ascii="Calibri" w:hAnsi="Calibri"/>
          <w:b/>
          <w:color w:val="000000"/>
        </w:rPr>
        <w:t>Oferta recomendada:</w:t>
      </w:r>
      <w:r>
        <w:t xml:space="preserve"> entrada única + classificação Comercial/Fiscal/DP/Contábil/Financeiro + tickets/tarefas + base de perguntas operacionais + treinamento.</w:t>
      </w:r>
    </w:p>
    <w:p>
      <w:pPr/>
      <w:r/>
      <w:r>
        <w:rPr>
          <w:rFonts w:ascii="Calibri" w:hAnsi="Calibri"/>
          <w:b/>
          <w:color w:val="000000"/>
        </w:rPr>
        <w:t>Prova de valor:</w:t>
      </w:r>
      <w:r>
        <w:t xml:space="preserve"> primeira resposta, demandas classificadas, tickets com responsável, tarefas vencidas, reabertura e completude. Não prometer economia tributária ou conformidade automática.</w:t>
      </w:r>
    </w:p>
    <w:p>
      <w:pPr>
        <w:pStyle w:val="Heading2"/>
      </w:pPr>
      <w:r>
        <w:t>Fluxo demonstrável no AnyChat</w:t>
      </w:r>
    </w:p>
    <w:p>
      <w:pPr/>
      <w:r>
        <w:t>1. Widget oferece “Quero contratar”, “Já sou cliente” e “Enviar uma solicitação”.</w:t>
      </w:r>
    </w:p>
    <w:p>
      <w:pPr/>
      <w:r>
        <w:t>2. Para lead, coleta segmento, porte aproximado e necessidade declarada.</w:t>
      </w:r>
    </w:p>
    <w:p>
      <w:pPr/>
      <w:r>
        <w:t>3. Para cliente, coleta categoria da demanda e urgência declarada; evita documento sensível no primeiro fluxo.</w:t>
      </w:r>
    </w:p>
    <w:p>
      <w:pPr/>
      <w:r>
        <w:t>4. Condition encaminha ao departamento.</w:t>
      </w:r>
    </w:p>
    <w:p>
      <w:pPr/>
      <w:r>
        <w:t>5. Invite agent transfere; CRM cria ticket ou tarefa.</w:t>
      </w:r>
    </w:p>
    <w:p>
      <w:pPr/>
      <w:r>
        <w:t>6. Base responde apenas dúvidas operacionais aprovadas.</w:t>
      </w:r>
    </w:p>
    <w:p>
      <w:pPr/>
      <w:r/>
      <w:r>
        <w:rPr>
          <w:rFonts w:ascii="Calibri" w:hAnsi="Calibri"/>
          <w:b/>
          <w:color w:val="000000"/>
        </w:rPr>
        <w:t>Hipótese:</w:t>
      </w:r>
      <w:r>
        <w:t xml:space="preserve"> integração com ERP/gestor de documentos. Só ativar após análise de segurança, campos, permissões e homologação.</w:t>
      </w:r>
    </w:p>
    <w:p>
      <w:pPr>
        <w:pStyle w:val="Heading2"/>
      </w:pPr>
      <w:r>
        <w:t>Scripts</w:t>
      </w:r>
    </w:p>
    <w:p>
      <w:pPr/>
      <w:r/>
      <w:r>
        <w:rPr>
          <w:rFonts w:ascii="Calibri" w:hAnsi="Calibri"/>
          <w:b/>
          <w:color w:val="000000"/>
        </w:rPr>
        <w:t>Prospecção</w:t>
      </w:r>
      <w:r/>
    </w:p>
    <w:p>
      <w:pPr/>
      <w:r>
        <w:t>Assunto: organização das demandas fiscal, DP e comercial</w:t>
      </w:r>
    </w:p>
    <w:p>
      <w:pPr/>
      <w:r/>
    </w:p>
    <w:p>
      <w:pPr/>
      <w:r>
        <w:t>Olá, [Nome]. Escritórios com carteira crescente costumam receber demandas em vários números e formatos. A Hablachat pode classificar a entrada, direcionar por departamento e acompanhar tickets, sem substituir a análise do contador. Faz sentido mapear o processo atual em 20 minutos?</w:t>
      </w:r>
    </w:p>
    <w:p>
      <w:pPr/>
      <w:r/>
      <w:r>
        <w:rPr>
          <w:rFonts w:ascii="Calibri" w:hAnsi="Calibri"/>
          <w:b/>
          <w:color w:val="000000"/>
        </w:rPr>
        <w:t>Demo</w:t>
      </w:r>
      <w:r/>
    </w:p>
    <w:p>
      <w:pPr/>
      <w:r>
        <w:t>“A automação identifica o tipo de demanda e o responsável. Interpretação fiscal, enquadramento e recomendação continuam com profissional habilitado.”</w:t>
      </w:r>
    </w:p>
    <w:p>
      <w:pPr/>
      <w:r/>
      <w:r>
        <w:rPr>
          <w:rFonts w:ascii="Calibri" w:hAnsi="Calibri"/>
          <w:b/>
          <w:color w:val="000000"/>
        </w:rPr>
        <w:t>WhatsApp após opt-in</w:t>
      </w:r>
      <w:r/>
    </w:p>
    <w:p>
      <w:pPr/>
      <w:r>
        <w:t>Olá, [Nome]. Você solicitou informações sobre organização do atendimento contábil. Posso confirmar número de empresas atendidas, canais e principais categorias de demanda? Responda PARAR para encerrar.</w:t>
      </w:r>
    </w:p>
    <w:p>
      <w:pPr/>
      <w:r/>
      <w:r>
        <w:rPr>
          <w:rFonts w:ascii="Calibri" w:hAnsi="Calibri"/>
          <w:b/>
          <w:color w:val="000000"/>
        </w:rPr>
        <w:t>Acompanhamento</w:t>
      </w:r>
      <w:r/>
    </w:p>
    <w:p>
      <w:pPr/>
      <w:r>
        <w:t>Escopo do piloto: classificação, atribuição, ticket e indicador. Fora do escopo inicial: decisão tributária, envio de documento sensível por canal não aprovado e integração sem análise de segurança.</w:t>
      </w:r>
    </w:p>
    <w:p>
      <w:pPr>
        <w:pStyle w:val="Heading2"/>
      </w:pPr>
      <w:r>
        <w:t>Objeções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24"/>
        <w:gridCol w:w="6556"/>
      </w:tblGrid>
      <w:tr>
        <w:trPr>
          <w:tblHeader/>
        </w:trPr>
        <w:tc>
          <w:tcPr>
            <w:tcW w:type="dxa" w:w="352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Objeção</w:t>
            </w:r>
          </w:p>
        </w:tc>
        <w:tc>
          <w:tcPr>
            <w:tcW w:type="dxa" w:w="655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Resposta segura</w:t>
            </w:r>
          </w:p>
        </w:tc>
      </w:tr>
      <w:tr>
        <w:tc>
          <w:tcPr>
            <w:tcW w:type="dxa" w:w="352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“Nosso ERP já tem chamados.”</w:t>
            </w:r>
          </w:p>
        </w:tc>
        <w:tc>
          <w:tcPr>
            <w:tcW w:type="dxa" w:w="655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Podemos avaliar a entrada e o encaminhamento; integração não é presumida.</w:t>
            </w:r>
          </w:p>
        </w:tc>
      </w:tr>
      <w:tr>
        <w:tc>
          <w:tcPr>
            <w:tcW w:type="dxa" w:w="352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“A IA pode responder questões tributárias?”</w:t>
            </w:r>
          </w:p>
        </w:tc>
        <w:tc>
          <w:tcPr>
            <w:tcW w:type="dxa" w:w="655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Respostas materiais exigem revisão de contador; comece por conteúdo operacional aprovado.</w:t>
            </w:r>
          </w:p>
        </w:tc>
      </w:tr>
      <w:tr>
        <w:tc>
          <w:tcPr>
            <w:tcW w:type="dxa" w:w="352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“Prometa economia fiscal.”</w:t>
            </w:r>
          </w:p>
        </w:tc>
        <w:tc>
          <w:tcPr>
            <w:tcW w:type="dxa" w:w="655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Não fazemos garantia de economia ou restituição.</w:t>
            </w:r>
          </w:p>
        </w:tc>
      </w:tr>
      <w:tr>
        <w:tc>
          <w:tcPr>
            <w:tcW w:type="dxa" w:w="352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“Vamos competir pelo menor preço.”</w:t>
            </w:r>
          </w:p>
        </w:tc>
        <w:tc>
          <w:tcPr>
            <w:tcW w:type="dxa" w:w="655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 CFC exige publicidade técnica, moderada e discreta, sem mercantilização.</w:t>
            </w:r>
          </w:p>
        </w:tc>
      </w:tr>
    </w:tbl>
    <w:p>
      <w:pPr>
        <w:spacing w:after="40"/>
      </w:pPr>
    </w:p>
    <w:p>
      <w:pPr>
        <w:pStyle w:val="Heading2"/>
      </w:pPr>
      <w:r>
        <w:t>KPIs campanhas e canais de crescimento</w:t>
      </w:r>
    </w:p>
    <w:p>
      <w:pPr/>
      <w:r/>
      <w:r>
        <w:rPr>
          <w:rFonts w:ascii="Calibri" w:hAnsi="Calibri"/>
          <w:b/>
          <w:color w:val="000000"/>
        </w:rPr>
        <w:t>KPIs:</w:t>
      </w:r>
      <w:r>
        <w:t xml:space="preserve"> resposta, classificação, tickets atribuídos, SLA interno, reabertura, tarefas vencidas, satisfação e opt-out.</w:t>
      </w:r>
    </w:p>
    <w:p>
      <w:pPr/>
      <w:r/>
      <w:r>
        <w:rPr>
          <w:rFonts w:ascii="Calibri" w:hAnsi="Calibri"/>
          <w:b/>
          <w:color w:val="000000"/>
        </w:rPr>
        <w:t>Campanhas:</w:t>
      </w:r>
      <w:r>
        <w:t xml:space="preserve"> calendário de obrigações, convites educativos e avisos operacionais a bases autorizadas; não apresentar mensagem automática como orientação individual.</w:t>
      </w:r>
    </w:p>
    <w:p>
      <w:pPr/>
      <w:r/>
      <w:r>
        <w:rPr>
          <w:rFonts w:ascii="Calibri" w:hAnsi="Calibri"/>
          <w:b/>
          <w:color w:val="000000"/>
        </w:rPr>
        <w:t>Parcerias:</w:t>
      </w:r>
      <w:r>
        <w:t xml:space="preserve"> associações empresariais, ERPs, consultorias de gestão, advocacia empresarial e bancos — com transparência e sem compartilhar dados de cliente sem base legal.</w:t>
      </w:r>
    </w:p>
    <w:p>
      <w:pPr/>
      <w:r/>
      <w:r>
        <w:rPr>
          <w:rFonts w:ascii="Calibri" w:hAnsi="Calibri"/>
          <w:b/>
          <w:color w:val="000000"/>
        </w:rPr>
        <w:t>Indicação:</w:t>
      </w:r>
      <w:r>
        <w:t xml:space="preserve"> programa institucional B2B; validar se benefício ou comissão afeta ética, independência ou conflito.</w:t>
      </w:r>
    </w:p>
    <w:p>
      <w:pPr/>
      <w:r/>
      <w:r>
        <w:rPr>
          <w:rFonts w:ascii="Calibri" w:hAnsi="Calibri"/>
          <w:b/>
          <w:color w:val="000000"/>
        </w:rPr>
        <w:t>Influenciadores:</w:t>
      </w:r>
      <w:r>
        <w:t xml:space="preserve"> contadores e educadores empresariais; conteúdo técnico com fonte, revisão e identificação profissional.</w:t>
      </w:r>
    </w:p>
    <w:p>
      <w:pPr>
        <w:pStyle w:val="Heading2"/>
      </w:pPr>
      <w:r>
        <w:t>Identidade visual e narrativa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Narrativa:</w:t>
      </w:r>
      <w:r>
        <w:t xml:space="preserve"> “cada demanda no fluxo certo, com responsabilidade técnica”.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Tom:</w:t>
      </w:r>
      <w:r>
        <w:t xml:space="preserve"> didático, preciso e calmo.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Visual:</w:t>
      </w:r>
      <w:r>
        <w:t xml:space="preserve"> azul profundo, verde discreto e cinza; dados legíveis e calendário; evitar cifrões e promessas de restituição.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Prova:</w:t>
      </w:r>
      <w:r>
        <w:t xml:space="preserve"> organização, prazos e rastreabilidade.</w:t>
      </w:r>
    </w:p>
    <w:p>
      <w:pPr/>
      <w:r>
        <w:t xml:space="preserve">O CFC informa que publicidade contábil deve ser técnica e científica, moderada e discreta, sem mercantilização; peças publicitárias devem conter a identificação profissional/organizacional exigida. Fontes: </w:t>
      </w:r>
      <w:hyperlink r:id="rId23">
        <w:r>
          <w:rPr>
            <w:color w:val="0563C1"/>
          </w:rPr>
          <w:t>Código de Ética</w:t>
        </w:r>
      </w:hyperlink>
      <w:r>
        <w:t xml:space="preserve"> e </w:t>
      </w:r>
      <w:hyperlink r:id="rId24">
        <w:r>
          <w:rPr>
            <w:color w:val="0563C1"/>
          </w:rPr>
          <w:t>requisitos de identificação</w:t>
        </w:r>
      </w:hyperlink>
      <w:r>
        <w:t>.</w:t>
      </w:r>
    </w:p>
    <w:p>
      <w:pPr>
        <w:pStyle w:val="Heading1"/>
      </w:pPr>
      <w:r>
        <w:t>Matriz comparativa de ativação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94"/>
        <w:gridCol w:w="2500"/>
        <w:gridCol w:w="1953"/>
        <w:gridCol w:w="1641"/>
        <w:gridCol w:w="2891"/>
      </w:tblGrid>
      <w:tr>
        <w:trPr>
          <w:tblHeader/>
        </w:trPr>
        <w:tc>
          <w:tcPr>
            <w:tcW w:type="dxa" w:w="109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Nicho</w:t>
            </w:r>
          </w:p>
        </w:tc>
        <w:tc>
          <w:tcPr>
            <w:tcW w:type="dxa" w:w="250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Entrada segura</w:t>
            </w:r>
          </w:p>
        </w:tc>
        <w:tc>
          <w:tcPr>
            <w:tcW w:type="dxa" w:w="195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Transferência de contexto</w:t>
            </w:r>
          </w:p>
        </w:tc>
        <w:tc>
          <w:tcPr>
            <w:tcW w:type="dxa" w:w="164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Conteúdo preferido</w:t>
            </w:r>
          </w:p>
        </w:tc>
        <w:tc>
          <w:tcPr>
            <w:tcW w:type="dxa" w:w="289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Guardrail dominante</w:t>
            </w:r>
          </w:p>
        </w:tc>
      </w:tr>
      <w:tr>
        <w:tc>
          <w:tcPr>
            <w:tcW w:type="dxa" w:w="109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Odontologia</w:t>
            </w:r>
          </w:p>
        </w:tc>
        <w:tc>
          <w:tcPr>
            <w:tcW w:type="dxa" w:w="25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Dados administrativos</w:t>
            </w:r>
          </w:p>
        </w:tc>
        <w:tc>
          <w:tcPr>
            <w:tcW w:type="dxa" w:w="195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Recepção/RT</w:t>
            </w:r>
          </w:p>
        </w:tc>
        <w:tc>
          <w:tcPr>
            <w:tcW w:type="dxa" w:w="164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Educação e logística</w:t>
            </w:r>
          </w:p>
        </w:tc>
        <w:tc>
          <w:tcPr>
            <w:tcW w:type="dxa" w:w="28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Dados de saúde, CFO/CRO e TCLE</w:t>
            </w:r>
          </w:p>
        </w:tc>
      </w:tr>
      <w:tr>
        <w:tc>
          <w:tcPr>
            <w:tcW w:type="dxa" w:w="109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Estética</w:t>
            </w:r>
          </w:p>
        </w:tc>
        <w:tc>
          <w:tcPr>
            <w:tcW w:type="dxa" w:w="250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Interesse e disponibilidade</w:t>
            </w:r>
          </w:p>
        </w:tc>
        <w:tc>
          <w:tcPr>
            <w:tcW w:type="dxa" w:w="195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Consultora/RT</w:t>
            </w:r>
          </w:p>
        </w:tc>
        <w:tc>
          <w:tcPr>
            <w:tcW w:type="dxa" w:w="164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Educação e jornada</w:t>
            </w:r>
          </w:p>
        </w:tc>
        <w:tc>
          <w:tcPr>
            <w:tcW w:type="dxa" w:w="289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Conselho aplicável, imagem e promessa</w:t>
            </w:r>
          </w:p>
        </w:tc>
      </w:tr>
      <w:tr>
        <w:tc>
          <w:tcPr>
            <w:tcW w:type="dxa" w:w="109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Advocacia</w:t>
            </w:r>
          </w:p>
        </w:tc>
        <w:tc>
          <w:tcPr>
            <w:tcW w:type="dxa" w:w="25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Contato espontâneo factual</w:t>
            </w:r>
          </w:p>
        </w:tc>
        <w:tc>
          <w:tcPr>
            <w:tcW w:type="dxa" w:w="195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Advogado</w:t>
            </w:r>
          </w:p>
        </w:tc>
        <w:tc>
          <w:tcPr>
            <w:tcW w:type="dxa" w:w="164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Informação jurídica</w:t>
            </w:r>
          </w:p>
        </w:tc>
        <w:tc>
          <w:tcPr>
            <w:tcW w:type="dxa" w:w="28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OAB, sigilo e não captação</w:t>
            </w:r>
          </w:p>
        </w:tc>
      </w:tr>
      <w:tr>
        <w:tc>
          <w:tcPr>
            <w:tcW w:type="dxa" w:w="109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Imobiliárias</w:t>
            </w:r>
          </w:p>
        </w:tc>
        <w:tc>
          <w:tcPr>
            <w:tcW w:type="dxa" w:w="250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Intenção, região e faixa</w:t>
            </w:r>
          </w:p>
        </w:tc>
        <w:tc>
          <w:tcPr>
            <w:tcW w:type="dxa" w:w="195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Vendas/Locação/Financeiro</w:t>
            </w:r>
          </w:p>
        </w:tc>
        <w:tc>
          <w:tcPr>
            <w:tcW w:type="dxa" w:w="164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Mercado local</w:t>
            </w:r>
          </w:p>
        </w:tc>
        <w:tc>
          <w:tcPr>
            <w:tcW w:type="dxa" w:w="289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Veracidade, não discriminação e CRECI</w:t>
            </w:r>
          </w:p>
        </w:tc>
      </w:tr>
      <w:tr>
        <w:tc>
          <w:tcPr>
            <w:tcW w:type="dxa" w:w="109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Contabilidade</w:t>
            </w:r>
          </w:p>
        </w:tc>
        <w:tc>
          <w:tcPr>
            <w:tcW w:type="dxa" w:w="250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Categoria e contexto empresarial</w:t>
            </w:r>
          </w:p>
        </w:tc>
        <w:tc>
          <w:tcPr>
            <w:tcW w:type="dxa" w:w="195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Comercial/Fiscal/DP</w:t>
            </w:r>
          </w:p>
        </w:tc>
        <w:tc>
          <w:tcPr>
            <w:tcW w:type="dxa" w:w="164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Calendário e operação</w:t>
            </w:r>
          </w:p>
        </w:tc>
        <w:tc>
          <w:tcPr>
            <w:tcW w:type="dxa" w:w="289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CFC, sigilo e revisão técnica</w:t>
            </w:r>
          </w:p>
        </w:tc>
      </w:tr>
    </w:tbl>
    <w:p>
      <w:pPr>
        <w:spacing w:after="40"/>
      </w:pPr>
    </w:p>
    <w:p>
      <w:pPr>
        <w:pStyle w:val="Heading1"/>
      </w:pPr>
      <w:r>
        <w:t>Cadência comercial recomendada por conta</w:t>
      </w:r>
    </w:p>
    <w:p>
      <w:pPr/>
      <w:r>
        <w:t xml:space="preserve">1. </w:t>
      </w:r>
      <w:r>
        <w:rPr>
          <w:rFonts w:ascii="Calibri" w:hAnsi="Calibri"/>
          <w:b/>
          <w:color w:val="000000"/>
        </w:rPr>
        <w:t>Dia 0:</w:t>
      </w:r>
      <w:r>
        <w:t xml:space="preserve"> pesquisa e e-mail/LinkedIn baseado em sinal real.</w:t>
      </w:r>
    </w:p>
    <w:p>
      <w:pPr/>
      <w:r>
        <w:t xml:space="preserve">2. </w:t>
      </w:r>
      <w:r>
        <w:rPr>
          <w:rFonts w:ascii="Calibri" w:hAnsi="Calibri"/>
          <w:b/>
          <w:color w:val="000000"/>
        </w:rPr>
        <w:t>Dia 3:</w:t>
      </w:r>
      <w:r>
        <w:t xml:space="preserve"> conteúdo útil do nicho, sem insistência ou promessa.</w:t>
      </w:r>
    </w:p>
    <w:p>
      <w:pPr/>
      <w:r>
        <w:t xml:space="preserve">3. </w:t>
      </w:r>
      <w:r>
        <w:rPr>
          <w:rFonts w:ascii="Calibri" w:hAnsi="Calibri"/>
          <w:b/>
          <w:color w:val="000000"/>
        </w:rPr>
        <w:t>Dia 7:</w:t>
      </w:r>
      <w:r>
        <w:t xml:space="preserve"> ligação curta ou segundo e-mail.</w:t>
      </w:r>
    </w:p>
    <w:p>
      <w:pPr/>
      <w:r>
        <w:t xml:space="preserve">4. </w:t>
      </w:r>
      <w:r>
        <w:rPr>
          <w:rFonts w:ascii="Calibri" w:hAnsi="Calibri"/>
          <w:b/>
          <w:color w:val="000000"/>
        </w:rPr>
        <w:t>Dia 12:</w:t>
      </w:r>
      <w:r>
        <w:t xml:space="preserve"> convite para demo com fluxo vertical.</w:t>
      </w:r>
    </w:p>
    <w:p>
      <w:pPr/>
      <w:r>
        <w:t xml:space="preserve">5. </w:t>
      </w:r>
      <w:r>
        <w:rPr>
          <w:rFonts w:ascii="Calibri" w:hAnsi="Calibri"/>
          <w:b/>
          <w:color w:val="000000"/>
        </w:rPr>
        <w:t>Dia 18:</w:t>
      </w:r>
      <w:r>
        <w:t xml:space="preserve"> encerramento respeitoso e opt-out.</w:t>
      </w:r>
    </w:p>
    <w:p>
      <w:pPr/>
      <w:r>
        <w:t>Para advocacia, saúde e contatos pessoais, usar cadência ainda mais conservadora e nunca migrar para WhatsApp sem solicitação ou base aprovada.</w:t>
      </w:r>
    </w:p>
    <w:p>
      <w:pPr>
        <w:pStyle w:val="Heading1"/>
      </w:pPr>
      <w:r>
        <w:t>Checklist antes de lançar qualquer vertical</w:t>
      </w:r>
    </w:p>
    <w:p>
      <w:pPr/>
      <w:r>
        <w:t>☐ entrevistas com pelo menos cinco contas do nicho concluídas;</w:t>
      </w:r>
    </w:p>
    <w:p>
      <w:pPr/>
      <w:r>
        <w:t>☐ dores e eventos gatilho confirmados ou reclassificados como hipótese;</w:t>
      </w:r>
    </w:p>
    <w:p>
      <w:pPr/>
      <w:r>
        <w:t>☐ fluxo montado com dados sintéticos;</w:t>
      </w:r>
    </w:p>
    <w:p>
      <w:pPr/>
      <w:r>
        <w:t>☐ transferência de contexto humano testado;</w:t>
      </w:r>
    </w:p>
    <w:p>
      <w:pPr/>
      <w:r>
        <w:t>☐ textos aprovados pelo responsável técnico/jurídico;</w:t>
      </w:r>
    </w:p>
    <w:p>
      <w:pPr/>
      <w:r>
        <w:t>☐ campos reduzidos ao mínimo necessário;</w:t>
      </w:r>
    </w:p>
    <w:p>
      <w:pPr/>
      <w:r>
        <w:t>☐ base legal, aviso de privacidade, retenção e opt-out definidos;</w:t>
      </w:r>
    </w:p>
    <w:p>
      <w:pPr/>
      <w:r>
        <w:t>☐ campanhas limitadas a WABA com template e Dry run;</w:t>
      </w:r>
    </w:p>
    <w:p>
      <w:pPr/>
      <w:r>
        <w:t>☐ identidade visual aprovada sem claims indevidos;</w:t>
      </w:r>
    </w:p>
    <w:p>
      <w:pPr/>
      <w:r>
        <w:t>☐ KPIs possuem definição, fonte e responsável;</w:t>
      </w:r>
    </w:p>
    <w:p>
      <w:pPr/>
      <w:r>
        <w:t>☐ integração externa homologada antes de entrar no roteiro comercial;</w:t>
      </w:r>
    </w:p>
    <w:p>
      <w:pPr/>
      <w:r>
        <w:t>☐ vendedor treinado para dizer “hipótese” e “vamos validar no piloto”.</w:t>
      </w:r>
    </w:p>
    <w:p>
      <w:pPr>
        <w:pStyle w:val="Heading1"/>
      </w:pPr>
      <w:r>
        <w:t>Fontes principais</w:t>
      </w:r>
    </w:p>
    <w:p>
      <w:pPr>
        <w:pStyle w:val="ListBullet"/>
      </w:pPr>
      <w:r>
        <w:t xml:space="preserve">AnyChat: </w:t>
      </w:r>
      <w:hyperlink r:id="rId25">
        <w:r>
          <w:rPr>
            <w:color w:val="0563C1"/>
          </w:rPr>
          <w:t>https://docs.anychat.one/</w:t>
        </w:r>
      </w:hyperlink>
      <w:r/>
    </w:p>
    <w:p>
      <w:pPr>
        <w:pStyle w:val="ListBullet"/>
      </w:pPr>
      <w:r>
        <w:t xml:space="preserve">LGPD: </w:t>
      </w:r>
      <w:hyperlink r:id="rId17">
        <w:r>
          <w:rPr>
            <w:color w:val="0563C1"/>
          </w:rPr>
          <w:t>https://www.planalto.gov.br/ccivil_03/_ato2015-2018/2018/lei/l13709compilado.htm</w:t>
        </w:r>
      </w:hyperlink>
      <w:r/>
    </w:p>
    <w:p>
      <w:pPr>
        <w:pStyle w:val="ListBullet"/>
      </w:pPr>
      <w:r>
        <w:t xml:space="preserve">ANPD — legítimo interesse: </w:t>
      </w:r>
      <w:hyperlink r:id="rId18">
        <w:r>
          <w:rPr>
            <w:color w:val="0563C1"/>
          </w:rPr>
          <w:t>https://www.gov.br/anpd/pt-br/centrais-de-conteudo/materiais-educativos-e-publicacoes/guia_orientativo_hipoteses_legais_tratamento_de_dados_pessoais_legitimo_interesse</w:t>
        </w:r>
      </w:hyperlink>
      <w:r/>
    </w:p>
    <w:p>
      <w:pPr>
        <w:pStyle w:val="ListBullet"/>
      </w:pPr>
      <w:r>
        <w:t xml:space="preserve">OAB — Provimento 205/2021: </w:t>
      </w:r>
      <w:hyperlink r:id="rId19">
        <w:r>
          <w:rPr>
            <w:color w:val="0563C1"/>
          </w:rPr>
          <w:t>https://www.oab.org.br/leisnormas/legislacao/provimentos/205-2021</w:t>
        </w:r>
      </w:hyperlink>
      <w:r/>
    </w:p>
    <w:p>
      <w:pPr>
        <w:pStyle w:val="ListBullet"/>
      </w:pPr>
      <w:r>
        <w:t xml:space="preserve">CFO — Resolução 196/2019: </w:t>
      </w:r>
      <w:hyperlink r:id="rId20">
        <w:r>
          <w:rPr>
            <w:color w:val="0563C1"/>
          </w:rPr>
          <w:t>https://website.cfo.org.br/wp-content/uploads/2019/01/Resolu%C3%A7%C3%A3o-CFO-196-2019.pdf</w:t>
        </w:r>
      </w:hyperlink>
      <w:r/>
    </w:p>
    <w:p>
      <w:pPr>
        <w:pStyle w:val="ListBullet"/>
      </w:pPr>
      <w:r>
        <w:t xml:space="preserve">CFO — orientação 2025: </w:t>
      </w:r>
      <w:hyperlink r:id="rId26">
        <w:r>
          <w:rPr>
            <w:color w:val="0563C1"/>
          </w:rPr>
          <w:t>https://website.cfo.org.br/redes-sociais-na-odontologia-fique-atento-as-normas-eticas-e-acerte-na-publicacao-dos-conteudos/</w:t>
        </w:r>
      </w:hyperlink>
      <w:r/>
    </w:p>
    <w:p>
      <w:pPr>
        <w:pStyle w:val="ListBullet"/>
      </w:pPr>
      <w:r>
        <w:t xml:space="preserve">COFECI — Código de Ética citado: </w:t>
      </w:r>
      <w:hyperlink r:id="rId22">
        <w:r>
          <w:rPr>
            <w:color w:val="0563C1"/>
          </w:rPr>
          <w:t>https://www.cofeci.gov.br/post/corretor-de-im%C3%B3veis-profissional-qualificado</w:t>
        </w:r>
      </w:hyperlink>
      <w:r/>
    </w:p>
    <w:p>
      <w:pPr>
        <w:pStyle w:val="ListBullet"/>
      </w:pPr>
      <w:r>
        <w:t xml:space="preserve">CFC — NBC PG 01: </w:t>
      </w:r>
      <w:hyperlink r:id="rId21">
        <w:r>
          <w:rPr>
            <w:color w:val="0563C1"/>
          </w:rPr>
          <w:t>https://cfc.org.br/tecnica/normas-brasileiras-de-contabilidade/nbc-pg-geral/</w:t>
        </w:r>
      </w:hyperlink>
      <w:r/>
    </w:p>
    <w:p>
      <w:pPr>
        <w:pStyle w:val="Heading1"/>
      </w:pPr>
      <w:r>
        <w:t>Implantação e calendário dos cinco ramos</w:t>
      </w:r>
    </w:p>
    <w:p>
      <w:pPr/>
      <w:r>
        <w:t>Vender o software Hablachat a uma clínica, escritório ou imobiliária é diferente de captar consumidores para esses clientes. Os scripts B2B apresentam tecnologia e organização de atendimento. As mensagens que o cliente enviará ao seu público exigem regras profissionais próprias, revisão de responsável e base legal. A equipe comercial não deve confundir esses dois contextos.</w:t>
      </w:r>
    </w:p>
    <w:p>
      <w:pPr>
        <w:pStyle w:val="Heading1"/>
      </w:pPr>
      <w:r>
        <w:t>Proposta por ramo com o mesmo núcleo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3"/>
        <w:gridCol w:w="2633"/>
        <w:gridCol w:w="1504"/>
        <w:gridCol w:w="1354"/>
        <w:gridCol w:w="3536"/>
      </w:tblGrid>
      <w:tr>
        <w:trPr>
          <w:tblHeader/>
        </w:trPr>
        <w:tc>
          <w:tcPr>
            <w:tcW w:type="dxa" w:w="105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Ramo</w:t>
            </w:r>
          </w:p>
        </w:tc>
        <w:tc>
          <w:tcPr>
            <w:tcW w:type="dxa" w:w="263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Plano de referência</w:t>
            </w:r>
          </w:p>
        </w:tc>
        <w:tc>
          <w:tcPr>
            <w:tcW w:type="dxa" w:w="150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Implantação</w:t>
            </w:r>
          </w:p>
        </w:tc>
        <w:tc>
          <w:tcPr>
            <w:tcW w:type="dxa" w:w="135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Adaptação</w:t>
            </w:r>
          </w:p>
        </w:tc>
        <w:tc>
          <w:tcPr>
            <w:tcW w:type="dxa" w:w="353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Primeira jornada</w:t>
            </w:r>
          </w:p>
        </w:tc>
      </w:tr>
      <w:tr>
        <w:tc>
          <w:tcPr>
            <w:tcW w:type="dxa" w:w="105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Odontologia</w:t>
            </w:r>
          </w:p>
        </w:tc>
        <w:tc>
          <w:tcPr>
            <w:tcW w:type="dxa" w:w="263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Completo R$ 797 por mês</w:t>
            </w:r>
          </w:p>
        </w:tc>
        <w:tc>
          <w:tcPr>
            <w:tcW w:type="dxa" w:w="15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R$ 2.490</w:t>
            </w:r>
          </w:p>
        </w:tc>
        <w:tc>
          <w:tcPr>
            <w:tcW w:type="dxa" w:w="135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R$ 1.490</w:t>
            </w:r>
          </w:p>
        </w:tc>
        <w:tc>
          <w:tcPr>
            <w:tcW w:type="dxa" w:w="3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Solicitação administrativa de agenda e recepção</w:t>
            </w:r>
          </w:p>
        </w:tc>
      </w:tr>
      <w:tr>
        <w:tc>
          <w:tcPr>
            <w:tcW w:type="dxa" w:w="105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Estética</w:t>
            </w:r>
          </w:p>
        </w:tc>
        <w:tc>
          <w:tcPr>
            <w:tcW w:type="dxa" w:w="263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Completo R$ 797 por mês</w:t>
            </w:r>
          </w:p>
        </w:tc>
        <w:tc>
          <w:tcPr>
            <w:tcW w:type="dxa" w:w="150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R$ 2.490</w:t>
            </w:r>
          </w:p>
        </w:tc>
        <w:tc>
          <w:tcPr>
            <w:tcW w:type="dxa" w:w="135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R$ 1.490</w:t>
            </w:r>
          </w:p>
        </w:tc>
        <w:tc>
          <w:tcPr>
            <w:tcW w:type="dxa" w:w="3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Interesse, disponibilidade e consultora humana</w:t>
            </w:r>
          </w:p>
        </w:tc>
      </w:tr>
      <w:tr>
        <w:tc>
          <w:tcPr>
            <w:tcW w:type="dxa" w:w="105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Advocacia</w:t>
            </w:r>
          </w:p>
        </w:tc>
        <w:tc>
          <w:tcPr>
            <w:tcW w:type="dxa" w:w="263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Essencial R$ 397 ou Completo R$ 797</w:t>
            </w:r>
          </w:p>
        </w:tc>
        <w:tc>
          <w:tcPr>
            <w:tcW w:type="dxa" w:w="15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R$ 1.490 ou R$ 2.490</w:t>
            </w:r>
          </w:p>
        </w:tc>
        <w:tc>
          <w:tcPr>
            <w:tcW w:type="dxa" w:w="135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R$ 790 ou R$ 1.490</w:t>
            </w:r>
          </w:p>
        </w:tc>
        <w:tc>
          <w:tcPr>
            <w:tcW w:type="dxa" w:w="3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Recepção informativa e distribuição interna</w:t>
            </w:r>
          </w:p>
        </w:tc>
      </w:tr>
      <w:tr>
        <w:tc>
          <w:tcPr>
            <w:tcW w:type="dxa" w:w="105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Imobiliárias</w:t>
            </w:r>
          </w:p>
        </w:tc>
        <w:tc>
          <w:tcPr>
            <w:tcW w:type="dxa" w:w="263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Completo R$ 797 por mês</w:t>
            </w:r>
          </w:p>
        </w:tc>
        <w:tc>
          <w:tcPr>
            <w:tcW w:type="dxa" w:w="150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R$ 2.490</w:t>
            </w:r>
          </w:p>
        </w:tc>
        <w:tc>
          <w:tcPr>
            <w:tcW w:type="dxa" w:w="135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R$ 1.490</w:t>
            </w:r>
          </w:p>
        </w:tc>
        <w:tc>
          <w:tcPr>
            <w:tcW w:type="dxa" w:w="3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Comprar, alugar, anunciar e financeiro</w:t>
            </w:r>
          </w:p>
        </w:tc>
      </w:tr>
      <w:tr>
        <w:tc>
          <w:tcPr>
            <w:tcW w:type="dxa" w:w="105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Contabilidade</w:t>
            </w:r>
          </w:p>
        </w:tc>
        <w:tc>
          <w:tcPr>
            <w:tcW w:type="dxa" w:w="263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Completo R$ 797 por mês</w:t>
            </w:r>
          </w:p>
        </w:tc>
        <w:tc>
          <w:tcPr>
            <w:tcW w:type="dxa" w:w="150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R$ 2.490</w:t>
            </w:r>
          </w:p>
        </w:tc>
        <w:tc>
          <w:tcPr>
            <w:tcW w:type="dxa" w:w="135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R$ 1.490</w:t>
            </w:r>
          </w:p>
        </w:tc>
        <w:tc>
          <w:tcPr>
            <w:tcW w:type="dxa" w:w="3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Comercial, fiscal, DP e financeiro</w:t>
            </w:r>
          </w:p>
        </w:tc>
      </w:tr>
    </w:tbl>
    <w:p>
      <w:pPr>
        <w:spacing w:after="40"/>
      </w:pPr>
    </w:p>
    <w:p>
      <w:pPr/>
      <w:r>
        <w:t>Esses são enquadramentos sugeridos, não preço obrigatório por profissão. A equipe, canais e complexidade definem o plano. Escala de R$ 1.297 com implantação R$ 3.990 e adaptação R$ 2.490 só se justifica pela capacidade e escopo homologados. Mensalidades não incluem tarifas de terceiros. No Completo, o anual à vista da licença custa R$ 7.970 e o parcelado total R$ 8.767, independentemente do ramo.</w:t>
      </w:r>
    </w:p>
    <w:p>
      <w:pPr>
        <w:pStyle w:val="Heading1"/>
      </w:pPr>
      <w:r>
        <w:t>Campos mínimos e etapas da jornada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9"/>
        <w:gridCol w:w="2887"/>
        <w:gridCol w:w="3748"/>
        <w:gridCol w:w="2735"/>
      </w:tblGrid>
      <w:tr>
        <w:trPr>
          <w:tblHeader/>
        </w:trPr>
        <w:tc>
          <w:tcPr>
            <w:tcW w:type="dxa" w:w="709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Ramo</w:t>
            </w:r>
          </w:p>
        </w:tc>
        <w:tc>
          <w:tcPr>
            <w:tcW w:type="dxa" w:w="288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Campos administrativos</w:t>
            </w:r>
          </w:p>
        </w:tc>
        <w:tc>
          <w:tcPr>
            <w:tcW w:type="dxa" w:w="374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Etapas sugeridas</w:t>
            </w:r>
          </w:p>
        </w:tc>
        <w:tc>
          <w:tcPr>
            <w:tcW w:type="dxa" w:w="273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Evitar no primeiro contato</w:t>
            </w:r>
          </w:p>
        </w:tc>
      </w:tr>
      <w:tr>
        <w:tc>
          <w:tcPr>
            <w:tcW w:type="dxa" w:w="70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Odontologia</w:t>
            </w:r>
          </w:p>
        </w:tc>
        <w:tc>
          <w:tcPr>
            <w:tcW w:type="dxa" w:w="28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Nome, retorno, unidade, período e origem</w:t>
            </w:r>
          </w:p>
        </w:tc>
        <w:tc>
          <w:tcPr>
            <w:tcW w:type="dxa" w:w="374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Novo contato, triagem, recepção, solicitação, confirmação e acompanhamento</w:t>
            </w:r>
          </w:p>
        </w:tc>
        <w:tc>
          <w:tcPr>
            <w:tcW w:type="dxa" w:w="273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Histórico de saúde, imagem de paciente e diagnóstico</w:t>
            </w:r>
          </w:p>
        </w:tc>
      </w:tr>
      <w:tr>
        <w:tc>
          <w:tcPr>
            <w:tcW w:type="dxa" w:w="70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Estética</w:t>
            </w:r>
          </w:p>
        </w:tc>
        <w:tc>
          <w:tcPr>
            <w:tcW w:type="dxa" w:w="288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Nome, retorno, unidade, interesse geral e disponibilidade</w:t>
            </w:r>
          </w:p>
        </w:tc>
        <w:tc>
          <w:tcPr>
            <w:tcW w:type="dxa" w:w="374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Interesse, triagem, atendimento humano, avaliação presencial e retorno</w:t>
            </w:r>
          </w:p>
        </w:tc>
        <w:tc>
          <w:tcPr>
            <w:tcW w:type="dxa" w:w="273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Indicação, contraindicação e promessa de resultado</w:t>
            </w:r>
          </w:p>
        </w:tc>
      </w:tr>
      <w:tr>
        <w:tc>
          <w:tcPr>
            <w:tcW w:type="dxa" w:w="70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Advocacia</w:t>
            </w:r>
          </w:p>
        </w:tc>
        <w:tc>
          <w:tcPr>
            <w:tcW w:type="dxa" w:w="28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Nome, retorno, área geral e prazo declarado</w:t>
            </w:r>
          </w:p>
        </w:tc>
        <w:tc>
          <w:tcPr>
            <w:tcW w:type="dxa" w:w="374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Recebido, triagem factual, responsável, análise de conflito e reunião</w:t>
            </w:r>
          </w:p>
        </w:tc>
        <w:tc>
          <w:tcPr>
            <w:tcW w:type="dxa" w:w="273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Documentos sensíveis e aconselhamento automatizado</w:t>
            </w:r>
          </w:p>
        </w:tc>
      </w:tr>
      <w:tr>
        <w:tc>
          <w:tcPr>
            <w:tcW w:type="dxa" w:w="70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Imobiliárias</w:t>
            </w:r>
          </w:p>
        </w:tc>
        <w:tc>
          <w:tcPr>
            <w:tcW w:type="dxa" w:w="288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Nome, intenção, região, faixa declarada e prazo</w:t>
            </w:r>
          </w:p>
        </w:tc>
        <w:tc>
          <w:tcPr>
            <w:tcW w:type="dxa" w:w="374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Novo lead, perfil, corretor, visita, proposta e decisão</w:t>
            </w:r>
          </w:p>
        </w:tc>
        <w:tc>
          <w:tcPr>
            <w:tcW w:type="dxa" w:w="273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Crédito, atributo protegido e estoque não atualizado</w:t>
            </w:r>
          </w:p>
        </w:tc>
      </w:tr>
      <w:tr>
        <w:tc>
          <w:tcPr>
            <w:tcW w:type="dxa" w:w="70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Contabilidade</w:t>
            </w:r>
          </w:p>
        </w:tc>
        <w:tc>
          <w:tcPr>
            <w:tcW w:type="dxa" w:w="288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Empresa, segmento, necessidade, categoria e prazo</w:t>
            </w:r>
          </w:p>
        </w:tc>
        <w:tc>
          <w:tcPr>
            <w:tcW w:type="dxa" w:w="374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Recebido, classificado, responsável, ticket e conclusão</w:t>
            </w:r>
          </w:p>
        </w:tc>
        <w:tc>
          <w:tcPr>
            <w:tcW w:type="dxa" w:w="273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Senha fiscal, documentos extensos e decisão tributária</w:t>
            </w:r>
          </w:p>
        </w:tc>
      </w:tr>
    </w:tbl>
    <w:p>
      <w:pPr>
        <w:spacing w:after="40"/>
      </w:pPr>
    </w:p>
    <w:p>
      <w:pPr/>
      <w:r>
        <w:t>Essas etapas são desenho de processo. Confirmar como serão representadas no módulo disponível de CRM, tickets ou tarefas; não presumir um funil visual específico ainda não habilitado.</w:t>
      </w:r>
    </w:p>
    <w:p>
      <w:pPr>
        <w:pStyle w:val="Heading1"/>
      </w:pPr>
      <w:r>
        <w:t>Procedimento de implantação do ramo</w:t>
      </w:r>
    </w:p>
    <w:p>
      <w:pPr/>
      <w:r>
        <w:t>1. Vendedor registra contexto, objetivo, plano, prazo e promessa aprovada no transferência de contexto.</w:t>
      </w:r>
    </w:p>
    <w:p>
      <w:pPr/>
      <w:r>
        <w:t>2. Consultor faz uma reunião de 45 minutos com o responsável do cliente para desenhar uma jornada, um departamento e uma métrica primária.</w:t>
      </w:r>
    </w:p>
    <w:p>
      <w:pPr/>
      <w:r>
        <w:t>3. Responsável técnico ou gestor aprova campos e respostas, incluindo aviso de escopo e transferência humana.</w:t>
      </w:r>
    </w:p>
    <w:p>
      <w:pPr/>
      <w:r>
        <w:t>4. Técnico valida usuários, papéis, horários e canal no ambiente de homologação.</w:t>
      </w:r>
    </w:p>
    <w:p>
      <w:pPr/>
      <w:r>
        <w:t>5. Consultor configura a jornada e os textos aprovados; integração externa fica separada se ainda não homologada.</w:t>
      </w:r>
    </w:p>
    <w:p>
      <w:pPr/>
      <w:r>
        <w:t>6. Cliente executa casos de entrada normal, campo ausente, fora do horário, pedido humano e falha.</w:t>
      </w:r>
    </w:p>
    <w:p>
      <w:pPr/>
      <w:r>
        <w:t>7. Consultor treina ao menos um gestor e os usuários da jornada, dentro das horas contratadas.</w:t>
      </w:r>
    </w:p>
    <w:p>
      <w:pPr/>
      <w:r>
        <w:t>8. Cliente assina aceite operacional; tráfego entra em lote controlado, não toda a base de uma vez.</w:t>
      </w:r>
    </w:p>
    <w:p>
      <w:pPr/>
      <w:r>
        <w:t>9. Em D7 e D14, revisar erros e adoção. Em D30, medir comparação com baseline e decidir ajustes. No Completo, o acompanhamento contratado segue até D45 dentro das oito horas totais; Escala, D60 dentro das dezesseis horas.</w:t>
      </w:r>
    </w:p>
    <w:p>
      <w:pPr>
        <w:pStyle w:val="Heading1"/>
      </w:pPr>
      <w:r>
        <w:t>Agenda de ataque comercial de quatro semanas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5"/>
        <w:gridCol w:w="3071"/>
        <w:gridCol w:w="3137"/>
        <w:gridCol w:w="2937"/>
      </w:tblGrid>
      <w:tr>
        <w:trPr>
          <w:tblHeader/>
        </w:trPr>
        <w:tc>
          <w:tcPr>
            <w:tcW w:type="dxa" w:w="93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Semana</w:t>
            </w:r>
          </w:p>
        </w:tc>
        <w:tc>
          <w:tcPr>
            <w:tcW w:type="dxa" w:w="307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Vendedor 1 clínicas</w:t>
            </w:r>
          </w:p>
        </w:tc>
        <w:tc>
          <w:tcPr>
            <w:tcW w:type="dxa" w:w="313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Vendedor 2 escritórios</w:t>
            </w:r>
          </w:p>
        </w:tc>
        <w:tc>
          <w:tcPr>
            <w:tcW w:type="dxa" w:w="2937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Vendedor 3 imobiliárias</w:t>
            </w:r>
          </w:p>
        </w:tc>
      </w:tr>
      <w:tr>
        <w:tc>
          <w:tcPr>
            <w:tcW w:type="dxa" w:w="93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307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40 contas, distinguir administrativo e clínico</w:t>
            </w:r>
          </w:p>
        </w:tc>
        <w:tc>
          <w:tcPr>
            <w:tcW w:type="dxa" w:w="313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40 contas, sócios e processo de atendimento</w:t>
            </w:r>
          </w:p>
        </w:tc>
        <w:tc>
          <w:tcPr>
            <w:tcW w:type="dxa" w:w="293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40 contas, canais e processo de distribuição</w:t>
            </w:r>
          </w:p>
        </w:tc>
      </w:tr>
      <w:tr>
        <w:tc>
          <w:tcPr>
            <w:tcW w:type="dxa" w:w="93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307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Demo de recepção e biblioteca aprovada</w:t>
            </w:r>
          </w:p>
        </w:tc>
        <w:tc>
          <w:tcPr>
            <w:tcW w:type="dxa" w:w="313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Demo de triagem, tickets e revisão profissional</w:t>
            </w:r>
          </w:p>
        </w:tc>
        <w:tc>
          <w:tcPr>
            <w:tcW w:type="dxa" w:w="293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Demo de compra, locação e financeiro</w:t>
            </w:r>
          </w:p>
        </w:tc>
      </w:tr>
      <w:tr>
        <w:tc>
          <w:tcPr>
            <w:tcW w:type="dxa" w:w="93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307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Piloto com uma jornada e três métricas</w:t>
            </w:r>
          </w:p>
        </w:tc>
        <w:tc>
          <w:tcPr>
            <w:tcW w:type="dxa" w:w="313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Piloto sem documento sensível ou parecer</w:t>
            </w:r>
          </w:p>
        </w:tc>
        <w:tc>
          <w:tcPr>
            <w:tcW w:type="dxa" w:w="2937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Piloto de perfil e passagem ao corretor</w:t>
            </w:r>
          </w:p>
        </w:tc>
      </w:tr>
      <w:tr>
        <w:tc>
          <w:tcPr>
            <w:tcW w:type="dxa" w:w="93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307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Revisão de perdas, proposta e kickoff</w:t>
            </w:r>
          </w:p>
        </w:tc>
        <w:tc>
          <w:tcPr>
            <w:tcW w:type="dxa" w:w="313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Revisão de fit e proposta institucional</w:t>
            </w:r>
          </w:p>
        </w:tc>
        <w:tc>
          <w:tcPr>
            <w:tcW w:type="dxa" w:w="2937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Proposta e parceria com agência ou portal</w:t>
            </w:r>
          </w:p>
        </w:tc>
      </w:tr>
    </w:tbl>
    <w:p>
      <w:pPr>
        <w:spacing w:after="40"/>
      </w:pPr>
    </w:p>
    <w:p>
      <w:pPr/>
      <w:r>
        <w:t>O volume de 40 contas é por vendedor e por semana madura, não 40 por subnicho. O V1 distribui odontologia e estética; V2, advocacia e contabilidade; V3, imobiliárias e parceiros. A equipe não deve prospectar consumidores finais para esses clientes sem projeto e aprovação separados.</w:t>
      </w:r>
    </w:p>
    <w:p>
      <w:pPr>
        <w:pStyle w:val="Heading1"/>
      </w:pPr>
      <w:r>
        <w:t>Bibliotecas de perguntas para o diagnóstico</w:t>
      </w:r>
    </w:p>
    <w:p>
      <w:pPr/>
      <w:r>
        <w:t>Odontologia: quem recebe o primeiro contato, quem aprova respostas e como separam dúvida administrativa de clínica? Que dados são pedidos antes da consulta? Como medem tempo de resposta e falta? Existe agenda cuja API já foi validada? Quem é o responsável técnico?</w:t>
      </w:r>
    </w:p>
    <w:p>
      <w:pPr/>
      <w:r>
        <w:t>Estética: quais categorias profissionais e responsáveis atuam? Quem aprova textos e imagens? Como o lead vira avaliação humana? O que não deve ser respondido digitalmente? A campanha usa uma base autorizada e fonte atual de preço?</w:t>
      </w:r>
    </w:p>
    <w:p>
      <w:pPr/>
      <w:r>
        <w:t>Advocacia: qual volume de contatos espontâneos, áreas informadas e responsáveis por triagem? Como verificam conflito de interesses? O que pode ser registrado antes do aceite? Quem aprova conteúdo público e prazo de retenção? O objetivo é administrativo ou captação indevida?</w:t>
      </w:r>
    </w:p>
    <w:p>
      <w:pPr/>
      <w:r>
        <w:t>Imobiliárias: qual origem do lead e regra de atribuição? O estoque tem fonte e data de atualização? Como tratam lead duplicado e visita? Qual o canal de pós-venda? Existe uma definição de oportunidade que todos os corretores usam?</w:t>
      </w:r>
    </w:p>
    <w:p>
      <w:pPr/>
      <w:r>
        <w:t>Contabilidade: quais categorias de demanda geram retrabalho? Quem responde e fecha chamados? Como protegem dados e documentos? O ERP já organiza tickets ou será complementar? Quem revisa respostas com conteúdo fiscal? Qual tempo interno de atendimento por categoria?</w:t>
      </w:r>
    </w:p>
    <w:p>
      <w:pPr>
        <w:pStyle w:val="Heading1"/>
      </w:pPr>
      <w:r>
        <w:t>Plano de conteúdo por ramo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88"/>
        <w:gridCol w:w="2219"/>
        <w:gridCol w:w="1965"/>
        <w:gridCol w:w="2536"/>
        <w:gridCol w:w="2472"/>
      </w:tblGrid>
      <w:tr>
        <w:trPr>
          <w:tblHeader/>
        </w:trPr>
        <w:tc>
          <w:tcPr>
            <w:tcW w:type="dxa" w:w="88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Ramo</w:t>
            </w:r>
          </w:p>
        </w:tc>
        <w:tc>
          <w:tcPr>
            <w:tcW w:type="dxa" w:w="2219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Post educativo semanal</w:t>
            </w:r>
          </w:p>
        </w:tc>
        <w:tc>
          <w:tcPr>
            <w:tcW w:type="dxa" w:w="196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Vídeo de demonstração</w:t>
            </w:r>
          </w:p>
        </w:tc>
        <w:tc>
          <w:tcPr>
            <w:tcW w:type="dxa" w:w="253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Live mensal ou bimestral</w:t>
            </w:r>
          </w:p>
        </w:tc>
        <w:tc>
          <w:tcPr>
            <w:tcW w:type="dxa" w:w="247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Material de captura</w:t>
            </w:r>
          </w:p>
        </w:tc>
      </w:tr>
      <w:tr>
        <w:tc>
          <w:tcPr>
            <w:tcW w:type="dxa" w:w="88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Odontologia</w:t>
            </w:r>
          </w:p>
        </w:tc>
        <w:tc>
          <w:tcPr>
            <w:tcW w:type="dxa" w:w="221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Checklist de triagem administrativa</w:t>
            </w:r>
          </w:p>
        </w:tc>
        <w:tc>
          <w:tcPr>
            <w:tcW w:type="dxa" w:w="196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Pedido de agenda até recepção</w:t>
            </w:r>
          </w:p>
        </w:tc>
        <w:tc>
          <w:tcPr>
            <w:tcW w:type="dxa" w:w="2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Organização sem diagnóstico automatizado</w:t>
            </w:r>
          </w:p>
        </w:tc>
        <w:tc>
          <w:tcPr>
            <w:tcW w:type="dxa" w:w="247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Modelo de campos mínimos</w:t>
            </w:r>
          </w:p>
        </w:tc>
      </w:tr>
      <w:tr>
        <w:tc>
          <w:tcPr>
            <w:tcW w:type="dxa" w:w="88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Estética</w:t>
            </w:r>
          </w:p>
        </w:tc>
        <w:tc>
          <w:tcPr>
            <w:tcW w:type="dxa" w:w="221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Limites entre interesse e indicação</w:t>
            </w:r>
          </w:p>
        </w:tc>
        <w:tc>
          <w:tcPr>
            <w:tcW w:type="dxa" w:w="196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Interesse até consultora humana</w:t>
            </w:r>
          </w:p>
        </w:tc>
        <w:tc>
          <w:tcPr>
            <w:tcW w:type="dxa" w:w="2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Atendimento com revisão do responsável</w:t>
            </w:r>
          </w:p>
        </w:tc>
        <w:tc>
          <w:tcPr>
            <w:tcW w:type="dxa" w:w="247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Biblioteca de respostas administrativas</w:t>
            </w:r>
          </w:p>
        </w:tc>
      </w:tr>
      <w:tr>
        <w:tc>
          <w:tcPr>
            <w:tcW w:type="dxa" w:w="88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Advocacia</w:t>
            </w:r>
          </w:p>
        </w:tc>
        <w:tc>
          <w:tcPr>
            <w:tcW w:type="dxa" w:w="221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Contato espontâneo e sigilo</w:t>
            </w:r>
          </w:p>
        </w:tc>
        <w:tc>
          <w:tcPr>
            <w:tcW w:type="dxa" w:w="196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Encaminhamento informativo</w:t>
            </w:r>
          </w:p>
        </w:tc>
        <w:tc>
          <w:tcPr>
            <w:tcW w:type="dxa" w:w="2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Governança de recepção digital</w:t>
            </w:r>
          </w:p>
        </w:tc>
        <w:tc>
          <w:tcPr>
            <w:tcW w:type="dxa" w:w="247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Checklist de aprovação ética</w:t>
            </w:r>
          </w:p>
        </w:tc>
      </w:tr>
      <w:tr>
        <w:tc>
          <w:tcPr>
            <w:tcW w:type="dxa" w:w="88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Imobiliárias</w:t>
            </w:r>
          </w:p>
        </w:tc>
        <w:tc>
          <w:tcPr>
            <w:tcW w:type="dxa" w:w="221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Lead com dono e próxima ação</w:t>
            </w:r>
          </w:p>
        </w:tc>
        <w:tc>
          <w:tcPr>
            <w:tcW w:type="dxa" w:w="196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Comprar, alugar e financeiro</w:t>
            </w:r>
          </w:p>
        </w:tc>
        <w:tc>
          <w:tcPr>
            <w:tcW w:type="dxa" w:w="2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Roteamento e estoque com fonte</w:t>
            </w:r>
          </w:p>
        </w:tc>
        <w:tc>
          <w:tcPr>
            <w:tcW w:type="dxa" w:w="247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Checklist de distribuição de leads</w:t>
            </w:r>
          </w:p>
        </w:tc>
      </w:tr>
      <w:tr>
        <w:tc>
          <w:tcPr>
            <w:tcW w:type="dxa" w:w="88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Contabilidade</w:t>
            </w:r>
          </w:p>
        </w:tc>
        <w:tc>
          <w:tcPr>
            <w:tcW w:type="dxa" w:w="221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Categoria, prazo e responsável</w:t>
            </w:r>
          </w:p>
        </w:tc>
        <w:tc>
          <w:tcPr>
            <w:tcW w:type="dxa" w:w="196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Entrada até ticket e tarefa</w:t>
            </w:r>
          </w:p>
        </w:tc>
        <w:tc>
          <w:tcPr>
            <w:tcW w:type="dxa" w:w="2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Organização de demandas contábeis</w:t>
            </w:r>
          </w:p>
        </w:tc>
        <w:tc>
          <w:tcPr>
            <w:tcW w:type="dxa" w:w="247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Matriz de departamentos e SLA interno</w:t>
            </w:r>
          </w:p>
        </w:tc>
      </w:tr>
    </w:tbl>
    <w:p>
      <w:pPr>
        <w:spacing w:after="40"/>
      </w:pPr>
    </w:p>
    <w:p>
      <w:pPr/>
      <w:r>
        <w:t>Rodiziar os temas; cinco lives todo mês podem exceder a equipe. Produzir duas lives por mês e fazer cada ramo aparecer em um ciclo de três meses. Medir leads qualificados, conversas e demonstrações, não apenas visualizações.</w:t>
      </w:r>
    </w:p>
    <w:p>
      <w:pPr>
        <w:pStyle w:val="Heading1"/>
      </w:pPr>
      <w:r>
        <w:t>Critérios para ampliar o ramo</w:t>
      </w:r>
    </w:p>
    <w:p>
      <w:pPr/>
      <w:r>
        <w:t>Depois de cinco diagnósticos e dois pilotos, comparar aderência técnica, margem, duração de venda, tempo de implantação, uso em D30, dependências de terceiros e risco regulatório. Aumentar verba apenas onde a oferta foi validada. Se a integração de agenda ou ERP for condição eliminatória e não estiver disponível, desqualificar honestamente ou abrir POC paga antes de vender licença anual.</w:t>
      </w:r>
    </w:p>
    <w:sectPr w:rsidR="00FC693F" w:rsidRPr="0006063C" w:rsidSect="00034616">
      <w:footerReference w:type="default" r:id="rId9"/>
      <w:pgSz w:w="12240" w:h="15840"/>
      <w:pgMar w:top="1037" w:right="1080" w:bottom="103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555555"/>
        <w:sz w:val="18"/>
      </w:rPr>
      <w:t xml:space="preserve">Hablachat CRM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60" w:after="140" w:line="264" w:lineRule="auto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64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docs.anychat.one/omnichannel-inbox" TargetMode="External"/><Relationship Id="rId11" Type="http://schemas.openxmlformats.org/officeDocument/2006/relationships/hyperlink" Target="https://docs.anychat.one/workspaces/team-and-departments" TargetMode="External"/><Relationship Id="rId12" Type="http://schemas.openxmlformats.org/officeDocument/2006/relationships/hyperlink" Target="https://docs.anychat.one/live-chat-widget" TargetMode="External"/><Relationship Id="rId13" Type="http://schemas.openxmlformats.org/officeDocument/2006/relationships/hyperlink" Target="https://docs.anychat.one/chatflows-chatbot-builder" TargetMode="External"/><Relationship Id="rId14" Type="http://schemas.openxmlformats.org/officeDocument/2006/relationships/hyperlink" Target="https://docs.anychat.one/crm" TargetMode="External"/><Relationship Id="rId15" Type="http://schemas.openxmlformats.org/officeDocument/2006/relationships/hyperlink" Target="https://docs.anychat.one/campaigns" TargetMode="External"/><Relationship Id="rId16" Type="http://schemas.openxmlformats.org/officeDocument/2006/relationships/hyperlink" Target="https://anychat.one/resources/api" TargetMode="External"/><Relationship Id="rId17" Type="http://schemas.openxmlformats.org/officeDocument/2006/relationships/hyperlink" Target="https://www.planalto.gov.br/ccivil_03/_ato2015-2018/2018/lei/l13709compilado.htm" TargetMode="External"/><Relationship Id="rId18" Type="http://schemas.openxmlformats.org/officeDocument/2006/relationships/hyperlink" Target="https://www.gov.br/anpd/pt-br/centrais-de-conteudo/materiais-educativos-e-publicacoes/guia_orientativo_hipoteses_legais_tratamento_de_dados_pessoais_legitimo_interesse" TargetMode="External"/><Relationship Id="rId19" Type="http://schemas.openxmlformats.org/officeDocument/2006/relationships/hyperlink" Target="https://www.oab.org.br/leisnormas/legislacao/provimentos/205-2021" TargetMode="External"/><Relationship Id="rId20" Type="http://schemas.openxmlformats.org/officeDocument/2006/relationships/hyperlink" Target="https://website.cfo.org.br/wp-content/uploads/2019/01/Resolu%C3%A7%C3%A3o-CFO-196-2019.pdf" TargetMode="External"/><Relationship Id="rId21" Type="http://schemas.openxmlformats.org/officeDocument/2006/relationships/hyperlink" Target="https://cfc.org.br/tecnica/normas-brasileiras-de-contabilidade/nbc-pg-geral/" TargetMode="External"/><Relationship Id="rId22" Type="http://schemas.openxmlformats.org/officeDocument/2006/relationships/hyperlink" Target="https://www.cofeci.gov.br/post/corretor-de-im%C3%B3veis-profissional-qualificado" TargetMode="External"/><Relationship Id="rId23" Type="http://schemas.openxmlformats.org/officeDocument/2006/relationships/hyperlink" Target="https://cfc.org.br/noticias/codigo-de-etica-profissional-do-contador-e-atualizado-saiba-o-que-mudou/" TargetMode="External"/><Relationship Id="rId24" Type="http://schemas.openxmlformats.org/officeDocument/2006/relationships/hyperlink" Target="https://cfc.org.br/fiscalizacao-etica-e-disciplina/perguntas-frequentes/assinatura-de-pecas-contabeis/" TargetMode="External"/><Relationship Id="rId25" Type="http://schemas.openxmlformats.org/officeDocument/2006/relationships/hyperlink" Target="https://docs.anychat.one/" TargetMode="External"/><Relationship Id="rId26" Type="http://schemas.openxmlformats.org/officeDocument/2006/relationships/hyperlink" Target="https://website.cfo.org.br/redes-sociais-na-odontologia-fique-atento-as-normas-eticas-e-acerte-na-publicacao-dos-conteud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Lançamento comercial Hablachat CRM</dc:title>
  <dc:subject/>
  <dc:creator>Abizara Sistemas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