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Conteúdo promocional e operação dos agentes de IA</w:t>
      </w:r>
    </w:p>
    <w:p>
      <w:pPr>
        <w:pStyle w:val="Heading1"/>
      </w:pPr>
      <w:r>
        <w:t>Dois agentes na primeira fase</w:t>
      </w:r>
    </w:p>
    <w:p>
      <w:pPr/>
      <w:r>
        <w:t>Atlas concentra pesquisa de mercado, concorrência, sinais de contas e qualidade das fontes. Luma concentra planejamento editorial, rascunhos de posts, roteiros de vídeos, lives e materiais de parceiros. Hermes organiza solicitações e revisões como arquitetura proposta. Os demais papéis do catálogo são especializações sob demanda desses dois agentes ou backlog futuro; não representam agentes adicionais já implantados.</w:t>
      </w:r>
    </w:p>
    <w:p>
      <w:pPr/>
      <w:r>
        <w:t>Nenhuma rotina abaixo foi agendada ou instalada neste material. A produção deve começar em modo rascunho, com publicação e mensagens por operador humano autorizado. Criar contas, chaves, campanhas e integrações requer homologação e os responsáveis definidos.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6"/>
        <w:gridCol w:w="3423"/>
        <w:gridCol w:w="3281"/>
        <w:gridCol w:w="2710"/>
      </w:tblGrid>
      <w:tr>
        <w:trPr>
          <w:tblHeader/>
        </w:trPr>
        <w:tc>
          <w:tcPr>
            <w:tcW w:type="dxa" w:w="66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Agente</w:t>
            </w:r>
          </w:p>
        </w:tc>
        <w:tc>
          <w:tcPr>
            <w:tcW w:type="dxa" w:w="342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Produção diária sugerida</w:t>
            </w:r>
          </w:p>
        </w:tc>
        <w:tc>
          <w:tcPr>
            <w:tcW w:type="dxa" w:w="328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Produção semanal</w:t>
            </w:r>
          </w:p>
        </w:tc>
        <w:tc>
          <w:tcPr>
            <w:tcW w:type="dxa" w:w="271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Entrega mensal</w:t>
            </w:r>
          </w:p>
        </w:tc>
      </w:tr>
      <w:tr>
        <w:tc>
          <w:tcPr>
            <w:tcW w:type="dxa" w:w="6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Atlas</w:t>
            </w:r>
          </w:p>
        </w:tc>
        <w:tc>
          <w:tcPr>
            <w:tcW w:type="dxa" w:w="342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Até 24 fichas de contas com fonte e sinal público, priorizadas pelo time</w:t>
            </w:r>
          </w:p>
        </w:tc>
        <w:tc>
          <w:tcPr>
            <w:tcW w:type="dxa" w:w="328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Atualização de 3 concorrentes e uma síntese do nicho</w:t>
            </w:r>
          </w:p>
        </w:tc>
        <w:tc>
          <w:tcPr>
            <w:tcW w:type="dxa" w:w="271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Benchmark de 12 fornecedores e relatório de oportunidade</w:t>
            </w:r>
          </w:p>
        </w:tc>
      </w:tr>
      <w:tr>
        <w:tc>
          <w:tcPr>
            <w:tcW w:type="dxa" w:w="6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Luma</w:t>
            </w:r>
          </w:p>
        </w:tc>
        <w:tc>
          <w:tcPr>
            <w:tcW w:type="dxa" w:w="342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Até 3 rascunhos, revisão de peças e reaproveitamento</w:t>
            </w:r>
          </w:p>
        </w:tc>
        <w:tc>
          <w:tcPr>
            <w:tcW w:type="dxa" w:w="328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 posts publicados após aprovação, 3 vídeos, 1 artigo e pauta de live</w:t>
            </w:r>
          </w:p>
        </w:tc>
        <w:tc>
          <w:tcPr>
            <w:tcW w:type="dxa" w:w="271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20 posts, 12 vídeos, 4 artigos, 2 lives e kit de parceiro</w:t>
            </w:r>
          </w:p>
        </w:tc>
      </w:tr>
    </w:tbl>
    <w:p>
      <w:pPr>
        <w:spacing w:after="40"/>
      </w:pPr>
    </w:p>
    <w:p>
      <w:pPr/>
      <w:r>
        <w:t>São capacidades-alvo, não obrigação de volume sem qualidade. Atlas pode priorizar oito contas por vendedor, mas não deve preencher dado ausente com invenção. Luma deve produzir menos quando o responsável setorial não aprovar a pauta. O operador registra fonte, revisão, versão, publicação e link de atribuição.</w:t>
      </w:r>
    </w:p>
    <w:p>
      <w:pPr>
        <w:pStyle w:val="Heading1"/>
      </w:pPr>
      <w:r>
        <w:t>Calendário editorial de um mês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9"/>
        <w:gridCol w:w="2215"/>
        <w:gridCol w:w="4124"/>
        <w:gridCol w:w="2673"/>
      </w:tblGrid>
      <w:tr>
        <w:trPr>
          <w:tblHeader/>
        </w:trPr>
        <w:tc>
          <w:tcPr>
            <w:tcW w:type="dxa" w:w="1069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Semana</w:t>
            </w:r>
          </w:p>
        </w:tc>
        <w:tc>
          <w:tcPr>
            <w:tcW w:type="dxa" w:w="221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Tema</w:t>
            </w:r>
          </w:p>
        </w:tc>
        <w:tc>
          <w:tcPr>
            <w:tcW w:type="dxa" w:w="412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Conteúdos</w:t>
            </w:r>
          </w:p>
        </w:tc>
        <w:tc>
          <w:tcPr>
            <w:tcW w:type="dxa" w:w="267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Próximo passo comercial</w:t>
            </w:r>
          </w:p>
        </w:tc>
      </w:tr>
      <w:tr>
        <w:tc>
          <w:tcPr>
            <w:tcW w:type="dxa" w:w="106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221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Conversa sem responsável</w:t>
            </w:r>
          </w:p>
        </w:tc>
        <w:tc>
          <w:tcPr>
            <w:tcW w:type="dxa" w:w="41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Carrossel, vídeo geral e artigo odontologia</w:t>
            </w:r>
          </w:p>
        </w:tc>
        <w:tc>
          <w:tcPr>
            <w:tcW w:type="dxa" w:w="267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Diagnóstico administrativo</w:t>
            </w:r>
          </w:p>
        </w:tc>
      </w:tr>
      <w:tr>
        <w:tc>
          <w:tcPr>
            <w:tcW w:type="dxa" w:w="106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221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Lead e próxima ação</w:t>
            </w:r>
          </w:p>
        </w:tc>
        <w:tc>
          <w:tcPr>
            <w:tcW w:type="dxa" w:w="41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 imobiliária, checklist e live de processo</w:t>
            </w:r>
          </w:p>
        </w:tc>
        <w:tc>
          <w:tcPr>
            <w:tcW w:type="dxa" w:w="267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Demonstração com dados sintéticos</w:t>
            </w:r>
          </w:p>
        </w:tc>
      </w:tr>
      <w:tr>
        <w:tc>
          <w:tcPr>
            <w:tcW w:type="dxa" w:w="1069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221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Informação e responsabilidade</w:t>
            </w:r>
          </w:p>
        </w:tc>
        <w:tc>
          <w:tcPr>
            <w:tcW w:type="dxa" w:w="412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Vídeo advocacia, post contábil e artigo de privacidade</w:t>
            </w:r>
          </w:p>
        </w:tc>
        <w:tc>
          <w:tcPr>
            <w:tcW w:type="dxa" w:w="267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Revisão de requisitos do escritório</w:t>
            </w:r>
          </w:p>
        </w:tc>
      </w:tr>
      <w:tr>
        <w:tc>
          <w:tcPr>
            <w:tcW w:type="dxa" w:w="1069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221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Implantação e prova</w:t>
            </w:r>
          </w:p>
        </w:tc>
        <w:tc>
          <w:tcPr>
            <w:tcW w:type="dxa" w:w="412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Vídeo estética, comparação de modalidades e live</w:t>
            </w:r>
          </w:p>
        </w:tc>
        <w:tc>
          <w:tcPr>
            <w:tcW w:type="dxa" w:w="267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Piloto com critério de aceite</w:t>
            </w:r>
          </w:p>
        </w:tc>
      </w:tr>
    </w:tbl>
    <w:p>
      <w:pPr>
        <w:spacing w:after="40"/>
      </w:pPr>
    </w:p>
    <w:p>
      <w:pPr/>
      <w:r>
        <w:t>Distribuição sugerida: 40% educação, 30% demonstração de produto, 15% implantação e bastidores, 10% parceiros e 5% oferta explícita. Ajustar pelos resultados e não transformar proporção em regra fixa. Todos os posts direcionam para uma página de nicho, artigo ou demonstração, com UTM de campanha e fonte no CRM.</w:t>
      </w:r>
    </w:p>
    <w:p>
      <w:pPr>
        <w:pStyle w:val="Heading1"/>
      </w:pPr>
      <w:r>
        <w:t>Identidade visual por ramo</w:t>
      </w:r>
    </w:p>
    <w:p>
      <w:pPr/>
      <w:r>
        <w:t>Manter logotipo Hablachat, hierarquia tipográfica e navegação comuns. Usar variação de cor, exemplos e fotografias reais autorizadas, preservando contraste mínimo legível e não usando cor como único sinal. Capturas do produto são evidência da operação, não decoração.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82"/>
        <w:gridCol w:w="1976"/>
        <w:gridCol w:w="1878"/>
        <w:gridCol w:w="4744"/>
      </w:tblGrid>
      <w:tr>
        <w:trPr>
          <w:tblHeader/>
        </w:trPr>
        <w:tc>
          <w:tcPr>
            <w:tcW w:type="dxa" w:w="148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Ramo</w:t>
            </w:r>
          </w:p>
        </w:tc>
        <w:tc>
          <w:tcPr>
            <w:tcW w:type="dxa" w:w="197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Cor principal</w:t>
            </w:r>
          </w:p>
        </w:tc>
        <w:tc>
          <w:tcPr>
            <w:tcW w:type="dxa" w:w="187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Cor de apoio</w:t>
            </w:r>
          </w:p>
        </w:tc>
        <w:tc>
          <w:tcPr>
            <w:tcW w:type="dxa" w:w="474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Fotografia e linguagem</w:t>
            </w:r>
          </w:p>
        </w:tc>
      </w:tr>
      <w:tr>
        <w:tc>
          <w:tcPr>
            <w:tcW w:type="dxa" w:w="148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Marca Hablachat</w:t>
            </w:r>
          </w:p>
        </w:tc>
        <w:tc>
          <w:tcPr>
            <w:tcW w:type="dxa" w:w="19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Azul marinho #10233A</w:t>
            </w:r>
          </w:p>
        </w:tc>
        <w:tc>
          <w:tcPr>
            <w:tcW w:type="dxa" w:w="187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Ciano #21C2CC</w:t>
            </w:r>
          </w:p>
        </w:tc>
        <w:tc>
          <w:tcPr>
            <w:tcW w:type="dxa" w:w="474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Interface, equipe e processo</w:t>
            </w:r>
          </w:p>
        </w:tc>
      </w:tr>
      <w:tr>
        <w:tc>
          <w:tcPr>
            <w:tcW w:type="dxa" w:w="148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Odontologia</w:t>
            </w:r>
          </w:p>
        </w:tc>
        <w:tc>
          <w:tcPr>
            <w:tcW w:type="dxa" w:w="19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Petróleo #087E92</w:t>
            </w:r>
          </w:p>
        </w:tc>
        <w:tc>
          <w:tcPr>
            <w:tcW w:type="dxa" w:w="187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Verde suave #DDF4EE</w:t>
            </w:r>
          </w:p>
        </w:tc>
        <w:tc>
          <w:tcPr>
            <w:tcW w:type="dxa" w:w="474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Recepção e ambiente sem paciente identificável</w:t>
            </w:r>
          </w:p>
        </w:tc>
      </w:tr>
      <w:tr>
        <w:tc>
          <w:tcPr>
            <w:tcW w:type="dxa" w:w="148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Estética</w:t>
            </w:r>
          </w:p>
        </w:tc>
        <w:tc>
          <w:tcPr>
            <w:tcW w:type="dxa" w:w="19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Ameixa #92538B</w:t>
            </w:r>
          </w:p>
        </w:tc>
        <w:tc>
          <w:tcPr>
            <w:tcW w:type="dxa" w:w="187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Areia #F4ECE4</w:t>
            </w:r>
          </w:p>
        </w:tc>
        <w:tc>
          <w:tcPr>
            <w:tcW w:type="dxa" w:w="474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Diversidade, atendimento e avaliação responsável</w:t>
            </w:r>
          </w:p>
        </w:tc>
      </w:tr>
      <w:tr>
        <w:tc>
          <w:tcPr>
            <w:tcW w:type="dxa" w:w="148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Advocacia</w:t>
            </w:r>
          </w:p>
        </w:tc>
        <w:tc>
          <w:tcPr>
            <w:tcW w:type="dxa" w:w="19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Bronze #73593B</w:t>
            </w:r>
          </w:p>
        </w:tc>
        <w:tc>
          <w:tcPr>
            <w:tcW w:type="dxa" w:w="187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Off white #F7F5EF</w:t>
            </w:r>
          </w:p>
        </w:tc>
        <w:tc>
          <w:tcPr>
            <w:tcW w:type="dxa" w:w="474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Escritório e informação sóbria</w:t>
            </w:r>
          </w:p>
        </w:tc>
      </w:tr>
      <w:tr>
        <w:tc>
          <w:tcPr>
            <w:tcW w:type="dxa" w:w="148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Imobiliárias</w:t>
            </w:r>
          </w:p>
        </w:tc>
        <w:tc>
          <w:tcPr>
            <w:tcW w:type="dxa" w:w="19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Ocre #BE7126</w:t>
            </w:r>
          </w:p>
        </w:tc>
        <w:tc>
          <w:tcPr>
            <w:tcW w:type="dxa" w:w="187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Terracota #C67A59</w:t>
            </w:r>
          </w:p>
        </w:tc>
        <w:tc>
          <w:tcPr>
            <w:tcW w:type="dxa" w:w="474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Arquitetura real e mapa com fonte</w:t>
            </w:r>
          </w:p>
        </w:tc>
      </w:tr>
      <w:tr>
        <w:tc>
          <w:tcPr>
            <w:tcW w:type="dxa" w:w="148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Contabilidade</w:t>
            </w:r>
          </w:p>
        </w:tc>
        <w:tc>
          <w:tcPr>
            <w:tcW w:type="dxa" w:w="19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Azul #326FA9</w:t>
            </w:r>
          </w:p>
        </w:tc>
        <w:tc>
          <w:tcPr>
            <w:tcW w:type="dxa" w:w="187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Verde #237864</w:t>
            </w:r>
          </w:p>
        </w:tc>
        <w:tc>
          <w:tcPr>
            <w:tcW w:type="dxa" w:w="474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Calendário, dados e organização</w:t>
            </w:r>
          </w:p>
        </w:tc>
      </w:tr>
    </w:tbl>
    <w:p>
      <w:pPr>
        <w:spacing w:after="40"/>
      </w:pPr>
    </w:p>
    <w:p>
      <w:pPr/>
      <w:r>
        <w:t>Usar fonte de interface legível como Inter ou Arial, corpo mínimo de 16 px no site e legendas visíveis no vídeo vertical. Evitar cifrões, selos de melhor, antes e depois corporal ou tribunal como atalho de confiança. A marca explica organização e apoio, não promete resultado profissional.</w:t>
      </w:r>
    </w:p>
    <w:p>
      <w:pPr>
        <w:pStyle w:val="Heading1"/>
      </w:pPr>
      <w:r>
        <w:t>Estrutura dos vídeos curtos</w:t>
      </w:r>
    </w:p>
    <w:p>
      <w:pPr/>
      <w:r>
        <w:t>Gancho nos primeiros dois segundos, uma situação reconhecível, prova visual, benefício operacional verificável e uma chamada para ação. Gravar em 9:16; legendar; mostrar a interface em close; preservar dados pessoais e credenciais. Testar duas aberturas com o mesmo corpo para comparar retenção e pedidos qualificados. Técnicas de edição e gancho são hipóteses de desempenho; não garantem viralização.</w:t>
      </w:r>
    </w:p>
    <w:p>
      <w:pPr/>
      <w:r>
        <w:t>Métricas: retenção em três segundos quando disponível, duração média assistida, conclusão, salvamentos, compartilhamentos, cliques, conversas qualificadas e demonstrações realizadas. Informar denominador e plataforma. Comparar somente campanhas com público e verba próximos; não declarar vencedor com poucas visualizações.</w:t>
      </w:r>
    </w:p>
    <w:p>
      <w:pPr>
        <w:pStyle w:val="Heading1"/>
      </w:pPr>
      <w:r>
        <w:t>Roteiro geral de 25 segundos</w:t>
      </w:r>
    </w:p>
    <w:p>
      <w:pPr/>
      <w:r>
        <w:t>0 a 3 s: apresentador pergunta “Quem da sua equipe assumiu a última mensagem?” Texto na tela: conversa sem dono.</w:t>
      </w:r>
    </w:p>
    <w:p>
      <w:pPr/>
      <w:r>
        <w:t>3 a 8 s: encenação identificada como exemplo de duas pessoas supondo que a outra respondeu. Fala: “Quando o responsável não está claro, o próximo passo depende da memória.”</w:t>
      </w:r>
    </w:p>
    <w:p>
      <w:pPr/>
      <w:r>
        <w:t>8 a 17 s: gravação de Inbox e departamentos em homologação, sem dado real. Fala: “O Hablachat organiza os canais conectados, encaminhamento e acompanhamento. Primeiro configuramos, depois testamos com a equipe.”</w:t>
      </w:r>
    </w:p>
    <w:p>
      <w:pPr/>
      <w:r>
        <w:t>17 a 25 s: apresentador e tela de processo. Fala: “Quer ver uma jornada do seu ramo? Peça uma demonstração.” CTA único: conhecer a demonstração. Não inserir percentual de vendas ou depoimento inexistente.</w:t>
      </w:r>
    </w:p>
    <w:p>
      <w:pPr>
        <w:pStyle w:val="Heading1"/>
      </w:pPr>
      <w:r>
        <w:t>Roteiro odontologia de 30 segundos</w:t>
      </w:r>
    </w:p>
    <w:p>
      <w:pPr/>
      <w:r>
        <w:t>Gancho A: “A recepção recebe pedidos de agenda ou perguntas clínicas?” Gancho B: “Nem toda pergunta de paciente deve ser respondida por um bot.”</w:t>
      </w:r>
    </w:p>
    <w:p>
      <w:pPr/>
      <w:r>
        <w:t>0 a 6 s: mostrar três assuntos administrativos: horário, unidade e agenda. Fala: “O começo pode ser simples: separar o que é administrativo e encaminhar o que precisa de profissional.”</w:t>
      </w:r>
    </w:p>
    <w:p>
      <w:pPr/>
      <w:r>
        <w:t>6 a 20 s: tela de widget com campos mínimos e transferência de homologação. Fala: “No Hablachat, a jornada pode pedir nome, retorno e preferência de período. Orientação clínica continua com a equipe habilitada.”</w:t>
      </w:r>
    </w:p>
    <w:p>
      <w:pPr/>
      <w:r>
        <w:t>20 a 30 s: tela de tarefa e responsável. Fala: “Quer organizar a recepção sem prometer diagnóstico automático? Solicite o checklist da clínica.” CTA: checklist. Revisão pelo responsável técnico antes da publicação.</w:t>
      </w:r>
    </w:p>
    <w:p>
      <w:pPr>
        <w:pStyle w:val="Heading1"/>
      </w:pPr>
      <w:r>
        <w:t>Roteiro estética de 28 segundos</w:t>
      </w:r>
    </w:p>
    <w:p>
      <w:pPr/>
      <w:r>
        <w:t>Gancho A: “Lead interessado não é indicação de procedimento.” Gancho B: “Sua consultora recebe contexto ou só um oi?”</w:t>
      </w:r>
    </w:p>
    <w:p>
      <w:pPr/>
      <w:r>
        <w:t>0 a 7 s: apresentador mostra perguntas sobre unidade e disponibilidade, sem imagem corporal. Fala: “O atendimento digital pode organizar interesse e horário sem decidir um procedimento.”</w:t>
      </w:r>
    </w:p>
    <w:p>
      <w:pPr/>
      <w:r>
        <w:t>7 a 20 s: prova de fluxo com aviso, coleta administrativa e transferência de contexto. Fala: “Hablachat ajuda a encaminhar o contato com contexto e registrar a próxima ação. A avaliação individual permanece com o profissional.”</w:t>
      </w:r>
    </w:p>
    <w:p>
      <w:pPr/>
      <w:r>
        <w:t>20 a 28 s: CTA: “Peça uma demonstração do atendimento responsável.” Não mostrar antes e depois, indicação, contraindicação ou resultado garantido.</w:t>
      </w:r>
    </w:p>
    <w:p>
      <w:pPr>
        <w:pStyle w:val="Heading1"/>
      </w:pPr>
      <w:r>
        <w:t>Roteiro advocacia de 30 segundos</w:t>
      </w:r>
    </w:p>
    <w:p>
      <w:pPr/>
      <w:r>
        <w:t>Gancho A: “Contato espontâneo precisa de acolhimento, não de parecer automático.” Gancho B: “Quem aprova o que o atendimento do escritório responde?”</w:t>
      </w:r>
    </w:p>
    <w:p>
      <w:pPr/>
      <w:r>
        <w:t>0 a 8 s: apresentar assuntos administrativo, contato e informação geral. Fala: “Uma recepção digital deve ser informativa, discreta e encaminhar o que exige análise.”</w:t>
      </w:r>
    </w:p>
    <w:p>
      <w:pPr/>
      <w:r>
        <w:t>8 a 22 s: mostrar departamento e tarefa com dados fictícios. Fala: “Hablachat organiza o contato recebido, responsável e acompanhamento. Não emite parecer, prognóstico ou promessa de êxito.”</w:t>
      </w:r>
    </w:p>
    <w:p>
      <w:pPr/>
      <w:r>
        <w:t>22 a 30 s: CTA institucional B2B: “Conheça o desenho de organização do seu escritório.” Este vídeo vende software ao escritório; se adaptado para publicidade jurídica ao público, exige revisão própria do responsável.</w:t>
      </w:r>
    </w:p>
    <w:p>
      <w:pPr>
        <w:pStyle w:val="Heading1"/>
      </w:pPr>
      <w:r>
        <w:t>Roteiro imobiliárias de 26 segundos</w:t>
      </w:r>
    </w:p>
    <w:p>
      <w:pPr/>
      <w:r>
        <w:t>Gancho A: “Compra, locação e financeiro entram no mesmo número?” Gancho B: “O lead chega ao corretor com contexto?”</w:t>
      </w:r>
    </w:p>
    <w:p>
      <w:pPr/>
      <w:r>
        <w:t>0 a 6 s: mostrar três destinos reais da referência Aura: Vendas, Locação e Financeiro. Fala: “Um contato precisa chegar à equipe certa.”</w:t>
      </w:r>
    </w:p>
    <w:p>
      <w:pPr/>
      <w:r>
        <w:t>6 a 19 s: gravação da jornada sintética por intenção e região. Fala: “Hablachat registra o interesse declarado e encaminha. Estoque, preço e disponibilidade só vêm de uma fonte homologada ou do corretor.”</w:t>
      </w:r>
    </w:p>
    <w:p>
      <w:pPr/>
      <w:r>
        <w:t>19 a 26 s: CTA: “Peça a demonstração de distribuição de leads.” Não inventar imóvel disponível ou escassez de unidades.</w:t>
      </w:r>
    </w:p>
    <w:p>
      <w:pPr>
        <w:pStyle w:val="Heading1"/>
      </w:pPr>
      <w:r>
        <w:t>Roteiro contabilidade de 28 segundos</w:t>
      </w:r>
    </w:p>
    <w:p>
      <w:pPr/>
      <w:r>
        <w:t>Gancho A: “É uma dúvida fiscal, de DP ou um novo cliente?” Gancho B: “Seu atendimento consegue mostrar quem ficou responsável?”</w:t>
      </w:r>
    </w:p>
    <w:p>
      <w:pPr/>
      <w:r>
        <w:t>0 a 7 s: apresentar categorias de solicitação. Fala: “Misturar as demandas dificulta acompanhar prazo e responsável.”</w:t>
      </w:r>
    </w:p>
    <w:p>
      <w:pPr/>
      <w:r>
        <w:t>7 a 21 s: mostrar triagem, ticket e tarefa em homologação. Fala: “O Hablachat organiza a entrada e encaminha por departamento. A decisão fiscal e a responsabilidade técnica continuam com o contador.”</w:t>
      </w:r>
    </w:p>
    <w:p>
      <w:pPr/>
      <w:r>
        <w:t>21 a 28 s: CTA: “Conheça a demonstração de organização de demandas.” Evitar garantia de economia tributária ou declaração de conformidade automática.</w:t>
      </w:r>
    </w:p>
    <w:p>
      <w:pPr>
        <w:pStyle w:val="Heading1"/>
      </w:pPr>
      <w:r>
        <w:t>Roteiro de preço e anual de 30 segundos</w:t>
      </w:r>
    </w:p>
    <w:p>
      <w:pPr/>
      <w:r>
        <w:t>0 a 3 s: “Compare o ano inteiro, não só a mensalidade.”</w:t>
      </w:r>
    </w:p>
    <w:p>
      <w:pPr/>
      <w:r>
        <w:t>3 a 16 s: mostrar os preços do Completo em tela: 12 meses de lista R$ 9.564, anual à vista R$ 7.970, economia R$ 1.594. Fala: “O anual reduz a licença em 16,67%, com compromisso de 12 meses. Implantação e adaptação são serviços separados.”</w:t>
      </w:r>
    </w:p>
    <w:p>
      <w:pPr/>
      <w:r>
        <w:t>16 a 24 s: mostrar a linha custos de terceiros. Fala: “Tarifas de canal e IA devem entrar na comparação; o preço publicado não elimina esses custos.”</w:t>
      </w:r>
    </w:p>
    <w:p>
      <w:pPr/>
      <w:r>
        <w:t>24 a 30 s: CTA: “Solicite a proposta com escopo e custo total.” Publicar somente após aprovação financeira e contratual do preço de lançamento.</w:t>
      </w:r>
    </w:p>
    <w:p>
      <w:pPr>
        <w:pStyle w:val="Heading1"/>
      </w:pPr>
      <w:r>
        <w:t>Live de demonstração de 40 minutos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85"/>
        <w:gridCol w:w="6260"/>
        <w:gridCol w:w="2334"/>
      </w:tblGrid>
      <w:tr>
        <w:trPr>
          <w:tblHeader/>
        </w:trPr>
        <w:tc>
          <w:tcPr>
            <w:tcW w:type="dxa" w:w="1485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Tempo</w:t>
            </w:r>
          </w:p>
        </w:tc>
        <w:tc>
          <w:tcPr>
            <w:tcW w:type="dxa" w:w="626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Pauta</w:t>
            </w:r>
          </w:p>
        </w:tc>
        <w:tc>
          <w:tcPr>
            <w:tcW w:type="dxa" w:w="233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Responsável</w:t>
            </w:r>
          </w:p>
        </w:tc>
      </w:tr>
      <w:tr>
        <w:tc>
          <w:tcPr>
            <w:tcW w:type="dxa" w:w="148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0 a 5 min</w:t>
            </w:r>
          </w:p>
        </w:tc>
        <w:tc>
          <w:tcPr>
            <w:tcW w:type="dxa" w:w="62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Problema operacional e escopo sem promessa</w:t>
            </w:r>
          </w:p>
        </w:tc>
        <w:tc>
          <w:tcPr>
            <w:tcW w:type="dxa" w:w="23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Apresentador comercial</w:t>
            </w:r>
          </w:p>
        </w:tc>
      </w:tr>
      <w:tr>
        <w:tc>
          <w:tcPr>
            <w:tcW w:type="dxa" w:w="148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 a 12 min</w:t>
            </w:r>
          </w:p>
        </w:tc>
        <w:tc>
          <w:tcPr>
            <w:tcW w:type="dxa" w:w="62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Processo atual e campos mínimos</w:t>
            </w:r>
          </w:p>
        </w:tc>
        <w:tc>
          <w:tcPr>
            <w:tcW w:type="dxa" w:w="23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Especialista do nicho</w:t>
            </w:r>
          </w:p>
        </w:tc>
      </w:tr>
      <w:tr>
        <w:tc>
          <w:tcPr>
            <w:tcW w:type="dxa" w:w="148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12 a 25 min</w:t>
            </w:r>
          </w:p>
        </w:tc>
        <w:tc>
          <w:tcPr>
            <w:tcW w:type="dxa" w:w="62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Widget, triagem, transferência de contexto e acompanhamento</w:t>
            </w:r>
          </w:p>
        </w:tc>
        <w:tc>
          <w:tcPr>
            <w:tcW w:type="dxa" w:w="23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Consultor de solução</w:t>
            </w:r>
          </w:p>
        </w:tc>
      </w:tr>
      <w:tr>
        <w:tc>
          <w:tcPr>
            <w:tcW w:type="dxa" w:w="148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25 a 32 min</w:t>
            </w:r>
          </w:p>
        </w:tc>
        <w:tc>
          <w:tcPr>
            <w:tcW w:type="dxa" w:w="62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Falha, offline e limites de integração</w:t>
            </w:r>
          </w:p>
        </w:tc>
        <w:tc>
          <w:tcPr>
            <w:tcW w:type="dxa" w:w="23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Consultor de solução</w:t>
            </w:r>
          </w:p>
        </w:tc>
      </w:tr>
      <w:tr>
        <w:tc>
          <w:tcPr>
            <w:tcW w:type="dxa" w:w="1485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32 a 37 min</w:t>
            </w:r>
          </w:p>
        </w:tc>
        <w:tc>
          <w:tcPr>
            <w:tcW w:type="dxa" w:w="626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Perguntas gerais moderadas</w:t>
            </w:r>
          </w:p>
        </w:tc>
        <w:tc>
          <w:tcPr>
            <w:tcW w:type="dxa" w:w="233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Moderador humano</w:t>
            </w:r>
          </w:p>
        </w:tc>
      </w:tr>
      <w:tr>
        <w:tc>
          <w:tcPr>
            <w:tcW w:type="dxa" w:w="1485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37 a 40 min</w:t>
            </w:r>
          </w:p>
        </w:tc>
        <w:tc>
          <w:tcPr>
            <w:tcW w:type="dxa" w:w="626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Checklist e convite a diagnóstico</w:t>
            </w:r>
          </w:p>
        </w:tc>
        <w:tc>
          <w:tcPr>
            <w:tcW w:type="dxa" w:w="233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Apresentador</w:t>
            </w:r>
          </w:p>
        </w:tc>
      </w:tr>
    </w:tbl>
    <w:p>
      <w:pPr>
        <w:spacing w:after="40"/>
      </w:pPr>
    </w:p>
    <w:p>
      <w:pPr/>
      <w:r>
        <w:t>Não responder casos individuais de saúde, direito ou tributação. Ao surgir dado sensível, interromper e orientar contato privado com profissional. A gravação usa ambiente sintético e autorização dos participantes. Após o evento, Luma prepara três trechos, um artigo e resumo; Atlas verifica claims e fontes; humano aprova publicação.</w:t>
      </w:r>
    </w:p>
    <w:p>
      <w:pPr>
        <w:pStyle w:val="Heading1"/>
      </w:pPr>
      <w:r>
        <w:t>Promoções e experiências de crescimento</w:t>
      </w:r>
    </w:p>
    <w:p>
      <w:pPr/>
      <w:r>
        <w:t>Testar uma mudança por vez: gancho, CTA, formato ou página de destino. Registrar hipótese, orçamento, público, período, métrica primária e critério de encerramento. Limite inicial de mídia deve ser aprovado por financeiro e ter relação com capacidade de demos e implantação. Não criar promoção de anual abaixo da margem mínima para conseguir volume.</w:t>
      </w:r>
    </w:p>
    <w:p>
      <w:pPr/>
      <w:r>
        <w:t>Promoção honesta possível: lote de até três implantações por semana, se essa for a capacidade medida, com revisão adicional de processo no D30 dentro do orçamento. O operador registra capacidade livre antes de comunicar. Evitar contador regressivo fictício, cupom que nunca expira ou prova social inventada.</w:t>
      </w:r>
    </w:p>
    <w:p>
      <w:pPr>
        <w:pStyle w:val="Heading1"/>
      </w:pPr>
      <w:r>
        <w:t>Depoimentos demonstrativos para substituir</w:t>
      </w:r>
    </w:p>
    <w:p>
      <w:pPr/>
      <w:r>
        <w:t>Os textos abaixo são fictícios e não representam clientes ou resultados observados. Uso permitido apenas em layout identificado como exemplo ilustrativo. Substituir por depoimento real autorizado antes de usar como prova de venda.</w:t>
      </w:r>
    </w:p>
    <w:p>
      <w:pPr/>
      <w:r>
        <w:t>Exemplo ilustrativo odontologia: “O que buscamos foi uma recepção com próximos passos claros e uma forma de separar dúvidas administrativas das clínicas.” Persona fictícia: gestora de clínica.</w:t>
      </w:r>
    </w:p>
    <w:p>
      <w:pPr/>
      <w:r>
        <w:t>Exemplo ilustrativo imobiliárias: “Queríamos que compra, locação e financeiro chegassem ao responsável com contexto, sem depender de encaminhar mensagens manualmente.” Persona fictícia: diretor de imobiliária.</w:t>
      </w:r>
    </w:p>
    <w:p>
      <w:pPr/>
      <w:r>
        <w:t>Exemplo ilustrativo contabilidade: “Nossa prioridade era acompanhar categoria, prazo e responsável de cada solicitação.” Persona fictícia: sócia de escritório contábil.</w:t>
      </w:r>
    </w:p>
    <w:p>
      <w:pPr/>
      <w:r>
        <w:t>Modelo de autorização real: identificar cliente e porta voz, texto aprovado, uso de nome e imagem, canais, período, edição permitida e possibilidade de revogação conforme acordo. Validar fonte de cada número de resultado e não editar de forma que mude o sentido.</w:t>
      </w:r>
    </w:p>
    <w:p>
      <w:pPr>
        <w:pStyle w:val="Heading1"/>
      </w:pPr>
      <w:r>
        <w:t>Fontes de criação e produto</w:t>
      </w:r>
    </w:p>
    <w:p>
      <w:pPr>
        <w:pStyle w:val="ListBullet"/>
      </w:pPr>
      <w:r>
        <w:t xml:space="preserve">TikTok Creative Center </w:t>
      </w:r>
      <w:hyperlink r:id="rId10">
        <w:r>
          <w:rPr>
            <w:color w:val="0563C1"/>
          </w:rPr>
          <w:t>https://ads.tiktok.com/business/creativecenter/</w:t>
        </w:r>
      </w:hyperlink>
      <w:r/>
    </w:p>
    <w:p>
      <w:pPr>
        <w:pStyle w:val="ListBullet"/>
      </w:pPr>
      <w:r>
        <w:t xml:space="preserve">Meta Reels </w:t>
      </w:r>
      <w:hyperlink r:id="rId11">
        <w:r>
          <w:rPr>
            <w:color w:val="0563C1"/>
          </w:rPr>
          <w:t>https://www.facebook.com/business/ads/facebook-instagram-reels-ads</w:t>
        </w:r>
      </w:hyperlink>
      <w:r/>
    </w:p>
    <w:p>
      <w:pPr>
        <w:pStyle w:val="ListBullet"/>
      </w:pPr>
      <w:r>
        <w:t xml:space="preserve">YouTube descoberta de Shorts </w:t>
      </w:r>
      <w:hyperlink r:id="rId12">
        <w:r>
          <w:rPr>
            <w:color w:val="0563C1"/>
          </w:rPr>
          <w:t>https://support.google.com/youtube/answer/11914225</w:t>
        </w:r>
      </w:hyperlink>
      <w:r/>
    </w:p>
    <w:p>
      <w:pPr>
        <w:pStyle w:val="ListBullet"/>
      </w:pPr>
      <w:r>
        <w:t xml:space="preserve">YouTube métricas de Shorts </w:t>
      </w:r>
      <w:hyperlink r:id="rId13">
        <w:r>
          <w:rPr>
            <w:color w:val="0563C1"/>
          </w:rPr>
          <w:t>https://support.google.com/youtube/answer/12942217</w:t>
        </w:r>
      </w:hyperlink>
      <w:r/>
    </w:p>
    <w:p>
      <w:pPr>
        <w:pStyle w:val="ListBullet"/>
      </w:pPr>
      <w:r>
        <w:t xml:space="preserve">Documentação AnyChat </w:t>
      </w:r>
      <w:hyperlink r:id="rId14">
        <w:r>
          <w:rPr>
            <w:color w:val="0563C1"/>
          </w:rPr>
          <w:t>https://docs.anychat.one/</w:t>
        </w:r>
      </w:hyperlink>
      <w:r/>
    </w:p>
    <w:p>
      <w:pPr>
        <w:pStyle w:val="ListBullet"/>
      </w:pPr>
      <w:r>
        <w:t xml:space="preserve">Shared Inbox </w:t>
      </w:r>
      <w:hyperlink r:id="rId15">
        <w:r>
          <w:rPr>
            <w:color w:val="0563C1"/>
          </w:rPr>
          <w:t>https://anychat.one/product/shared-inbox</w:t>
        </w:r>
      </w:hyperlink>
      <w:r/>
    </w:p>
    <w:p>
      <w:pPr>
        <w:pStyle w:val="ListBullet"/>
      </w:pPr>
      <w:r>
        <w:t xml:space="preserve">ChatFlow webhook </w:t>
      </w:r>
      <w:hyperlink r:id="rId16">
        <w:r>
          <w:rPr>
            <w:color w:val="0563C1"/>
          </w:rPr>
          <w:t>https://docs.anychat.one/chatflows-chatbot-builder/chat-flow-basics/send-a-webhook</w:t>
        </w:r>
      </w:hyperlink>
      <w:r/>
    </w:p>
    <w:p>
      <w:pPr/>
      <w:r>
        <w:t>Essas fontes orientam a verificação de funcionalidades e práticas criativas. A hipótese de viralização deve ser testada no público da Hablachat; não existe promessa de alcance neste planejamento.</w:t>
      </w:r>
    </w:p>
    <w:p>
      <w:pPr>
        <w:pStyle w:val="Heading1"/>
      </w:pPr>
      <w:r>
        <w:t>Planejamento do Hermes e dos agentes de apoio comercial</w:t>
      </w:r>
    </w:p>
    <w:p>
      <w:pPr>
        <w:pStyle w:val="Heading1"/>
      </w:pPr>
      <w:r>
        <w:t>Objetivo e status de confiança</w:t>
      </w:r>
    </w:p>
    <w:p>
      <w:pPr/>
      <w:r>
        <w:t>O objetivo é transformar o Hermes em uma central supervisionada para solicitar, criar, executar e avaliar agentes especializados em tarefas recorrentes da Hablachat: pesquisa, inteligência competitiva, prospecção, qualificação, conteúdo, roteiros, lives, promoções, QA/compliance e reporting.</w:t>
      </w:r>
    </w:p>
    <w:p>
      <w:pPr>
        <w:pStyle w:val="Heading2"/>
      </w:pPr>
      <w:r>
        <w:t>O que está confirmado</w:t>
      </w:r>
    </w:p>
    <w:p>
      <w:pPr>
        <w:pStyle w:val="ListBullet"/>
      </w:pPr>
      <w:r>
        <w:t xml:space="preserve">O projeto contém configuração de </w:t>
      </w:r>
      <w:r>
        <w:rPr>
          <w:rFonts w:ascii="Calibri" w:hAnsi="Calibri"/>
          <w:b/>
          <w:color w:val="000000"/>
        </w:rPr>
        <w:t>Hermes Agent e Hermes WebUI</w:t>
      </w:r>
      <w:r>
        <w:t>; isso não prova funcionamento atual do servidor.</w:t>
      </w:r>
    </w:p>
    <w:p>
      <w:pPr>
        <w:pStyle w:val="ListBullet"/>
      </w:pPr>
      <w:r>
        <w:t>A configuração prevê WebUI por HTTPS atrás do Traefik.</w:t>
      </w:r>
    </w:p>
    <w:p>
      <w:pPr>
        <w:pStyle w:val="ListBullet"/>
      </w:pPr>
      <w:r>
        <w:t>O gateway do agente permanece na rede Docker interna.</w:t>
      </w:r>
    </w:p>
    <w:p>
      <w:pPr>
        <w:pStyle w:val="ListBullet"/>
      </w:pPr>
      <w:r>
        <w:t>A configuração prevê workspace montado e proteção por senha.</w:t>
      </w:r>
    </w:p>
    <w:p>
      <w:pPr>
        <w:pStyle w:val="ListBullet"/>
      </w:pPr>
      <w:r>
        <w:t>No mesmo ambiente existem n8n, Ollama, Paperclip, Chatwoot e ERPNext, mas não há evidência neste escopo de que estejam integrados ao Hermes.</w:t>
      </w:r>
    </w:p>
    <w:p>
      <w:pPr>
        <w:pStyle w:val="ListBullet"/>
      </w:pPr>
      <w:r>
        <w:t>O AnyChat documenta webhook e API REST, mas a ligação Hermes ↔ AnyChat ainda precisa ser projetada e homologada.</w:t>
      </w:r>
    </w:p>
    <w:p>
      <w:pPr/>
      <w:r>
        <w:t xml:space="preserve">Fontes internas confirmadas: </w:t>
      </w:r>
      <w:r>
        <w:rPr>
          <w:rFonts w:ascii="Calibri" w:hAnsi="Calibri"/>
          <w:color w:val="000000"/>
        </w:rPr>
        <w:t>deploy/hermes/README.md</w:t>
      </w:r>
      <w:r>
        <w:t xml:space="preserve">, </w:t>
      </w:r>
      <w:r>
        <w:rPr>
          <w:rFonts w:ascii="Calibri" w:hAnsi="Calibri"/>
          <w:color w:val="000000"/>
        </w:rPr>
        <w:t>deploy/hermes/docker-compose.yml</w:t>
      </w:r>
      <w:r>
        <w:t xml:space="preserve"> e </w:t>
      </w:r>
      <w:r>
        <w:rPr>
          <w:rFonts w:ascii="Calibri" w:hAnsi="Calibri"/>
          <w:color w:val="000000"/>
        </w:rPr>
        <w:t>docs/relatorio-servidor-oracle-abizara.md</w:t>
      </w:r>
      <w:r>
        <w:t>.</w:t>
      </w:r>
    </w:p>
    <w:p>
      <w:pPr>
        <w:pStyle w:val="Heading2"/>
      </w:pPr>
      <w:r>
        <w:t>Hipóteses que precisam de piloto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Hermes pode atuar como orquestrador de tarefas e fábrica de especificações/agentes especializados.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n8n pode disparar cadências e coletar resultados do Hermes.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Ollama pode atender tarefas locais compatíveis com os requisitos de qualidade.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Paperclip pode administrar carteira e estado de agentes.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Chatwoot, ERPNext e AnyChat podem fornecer ou receber eventos mediante APIs/webhooks e autorização.</w:t>
      </w:r>
    </w:p>
    <w:p>
      <w:pPr>
        <w:pStyle w:val="ListBullet"/>
      </w:pPr>
      <w:r/>
      <w:r>
        <w:rPr>
          <w:rFonts w:ascii="Calibri" w:hAnsi="Calibri"/>
          <w:b/>
          <w:color w:val="000000"/>
        </w:rPr>
        <w:t>Hipótese:</w:t>
      </w:r>
      <w:r>
        <w:t xml:space="preserve"> parte dos relatórios pode ser gerada automaticamente sem comprometer precisão.</w:t>
      </w:r>
    </w:p>
    <w:p>
      <w:pPr/>
      <w:r>
        <w:t>Nenhuma dessas integrações deve entrar em produção sem autenticação, autorização, segregação de dados, logs, testes de falha e aprovação humana.</w:t>
      </w:r>
    </w:p>
    <w:p>
      <w:pPr>
        <w:pStyle w:val="Heading1"/>
      </w:pPr>
      <w:r>
        <w:t>Princípios de desenho</w:t>
      </w:r>
    </w:p>
    <w:p>
      <w:pPr/>
      <w:r>
        <w:t xml:space="preserve">1. </w:t>
      </w:r>
      <w:r>
        <w:rPr>
          <w:rFonts w:ascii="Calibri" w:hAnsi="Calibri"/>
          <w:b/>
          <w:color w:val="000000"/>
        </w:rPr>
        <w:t>Humano responsável:</w:t>
      </w:r>
      <w:r>
        <w:t xml:space="preserve"> agente prepara; pessoa autorizada decide e publica.</w:t>
      </w:r>
    </w:p>
    <w:p>
      <w:pPr/>
      <w:r>
        <w:t xml:space="preserve">2. </w:t>
      </w:r>
      <w:r>
        <w:rPr>
          <w:rFonts w:ascii="Calibri" w:hAnsi="Calibri"/>
          <w:b/>
          <w:color w:val="000000"/>
        </w:rPr>
        <w:t>Menor privilégio:</w:t>
      </w:r>
      <w:r>
        <w:t xml:space="preserve"> cada agente recebe somente fontes, ferramentas e destinos necessários.</w:t>
      </w:r>
    </w:p>
    <w:p>
      <w:pPr/>
      <w:r>
        <w:t xml:space="preserve">3. </w:t>
      </w:r>
      <w:r>
        <w:rPr>
          <w:rFonts w:ascii="Calibri" w:hAnsi="Calibri"/>
          <w:b/>
          <w:color w:val="000000"/>
        </w:rPr>
        <w:t>Dados mínimos:</w:t>
      </w:r>
      <w:r>
        <w:t xml:space="preserve"> não copiar bases completas quando uma amostra ou agregação for suficiente.</w:t>
      </w:r>
    </w:p>
    <w:p>
      <w:pPr/>
      <w:r>
        <w:t xml:space="preserve">4. </w:t>
      </w:r>
      <w:r>
        <w:rPr>
          <w:rFonts w:ascii="Calibri" w:hAnsi="Calibri"/>
          <w:b/>
          <w:color w:val="000000"/>
        </w:rPr>
        <w:t>Evidência antes de conclusão:</w:t>
      </w:r>
      <w:r>
        <w:t xml:space="preserve"> pesquisas e relatórios devem apontar fonte, data e confiança.</w:t>
      </w:r>
    </w:p>
    <w:p>
      <w:pPr/>
      <w:r>
        <w:t xml:space="preserve">5. </w:t>
      </w:r>
      <w:r>
        <w:rPr>
          <w:rFonts w:ascii="Calibri" w:hAnsi="Calibri"/>
          <w:b/>
          <w:color w:val="000000"/>
        </w:rPr>
        <w:t>Hipótese explícita:</w:t>
      </w:r>
      <w:r>
        <w:t xml:space="preserve"> inferências são rotuladas e nunca apresentadas como fatos.</w:t>
      </w:r>
    </w:p>
    <w:p>
      <w:pPr/>
      <w:r>
        <w:t xml:space="preserve">6. </w:t>
      </w:r>
      <w:r>
        <w:rPr>
          <w:rFonts w:ascii="Calibri" w:hAnsi="Calibri"/>
          <w:b/>
          <w:color w:val="000000"/>
        </w:rPr>
        <w:t>Saída estruturada:</w:t>
      </w:r>
      <w:r>
        <w:t xml:space="preserve"> toda execução entrega resultado, evidências, riscos, pendências e próximo passo.</w:t>
      </w:r>
    </w:p>
    <w:p>
      <w:pPr/>
      <w:r>
        <w:t xml:space="preserve">7. </w:t>
      </w:r>
      <w:r>
        <w:rPr>
          <w:rFonts w:ascii="Calibri" w:hAnsi="Calibri"/>
          <w:b/>
          <w:color w:val="000000"/>
        </w:rPr>
        <w:t>Canal controlado:</w:t>
      </w:r>
      <w:r>
        <w:t xml:space="preserve"> nenhuma mensagem externa, campanha, postagem ou alteração de sistema sem regra de aprovação.</w:t>
      </w:r>
    </w:p>
    <w:p>
      <w:pPr/>
      <w:r>
        <w:t xml:space="preserve">8. </w:t>
      </w:r>
      <w:r>
        <w:rPr>
          <w:rFonts w:ascii="Calibri" w:hAnsi="Calibri"/>
          <w:b/>
          <w:color w:val="000000"/>
        </w:rPr>
        <w:t>Reversibilidade:</w:t>
      </w:r>
      <w:r>
        <w:t xml:space="preserve"> começar em modo rascunho; ampliar autonomia apenas após métricas e auditoria.</w:t>
      </w:r>
    </w:p>
    <w:p>
      <w:pPr/>
      <w:r>
        <w:t xml:space="preserve">9. </w:t>
      </w:r>
      <w:r>
        <w:rPr>
          <w:rFonts w:ascii="Calibri" w:hAnsi="Calibri"/>
          <w:b/>
          <w:color w:val="000000"/>
        </w:rPr>
        <w:t>Separação entre produto e profissão:</w:t>
      </w:r>
      <w:r>
        <w:t xml:space="preserve"> agente não substitui advogado, contador, dentista, RT ou decisor do cliente.</w:t>
      </w:r>
    </w:p>
    <w:p>
      <w:pPr>
        <w:pStyle w:val="Heading1"/>
      </w:pPr>
      <w:r>
        <w:t>Arquitetura operacional proposta</w:t>
      </w:r>
    </w:p>
    <w:p>
      <w:pPr/>
      <w:r>
        <w:rPr>
          <w:rFonts w:ascii="Consolas" w:hAnsi="Consolas"/>
          <w:sz w:val="18"/>
        </w:rPr>
        <w:t>Solicitação humana / evento aprovado</w:t>
      </w:r>
    </w:p>
    <w:p>
      <w:pPr/>
      <w:r>
        <w:rPr>
          <w:rFonts w:ascii="Consolas" w:hAnsi="Consolas"/>
          <w:sz w:val="18"/>
        </w:rPr>
        <w:t>|</w:t>
      </w:r>
    </w:p>
    <w:p>
      <w:pPr/>
      <w:r>
        <w:rPr>
          <w:rFonts w:ascii="Consolas" w:hAnsi="Consolas"/>
          <w:sz w:val="18"/>
        </w:rPr>
        <w:t>v</w:t>
      </w:r>
    </w:p>
    <w:p>
      <w:pPr/>
      <w:r>
        <w:rPr>
          <w:rFonts w:ascii="Consolas" w:hAnsi="Consolas"/>
          <w:sz w:val="18"/>
        </w:rPr>
        <w:t>Hermes Orquestrador</w:t>
      </w:r>
    </w:p>
    <w:p>
      <w:pPr>
        <w:pStyle w:val="ListBullet"/>
      </w:pPr>
      <w:r>
        <w:rPr>
          <w:rFonts w:ascii="Consolas" w:hAnsi="Consolas"/>
          <w:sz w:val="18"/>
        </w:rPr>
        <w:t>valida objetivo e escopo</w:t>
      </w:r>
    </w:p>
    <w:p>
      <w:pPr>
        <w:pStyle w:val="ListBullet"/>
      </w:pPr>
      <w:r>
        <w:rPr>
          <w:rFonts w:ascii="Consolas" w:hAnsi="Consolas"/>
          <w:sz w:val="18"/>
        </w:rPr>
        <w:t>classifica risco</w:t>
      </w:r>
    </w:p>
    <w:p>
      <w:pPr>
        <w:pStyle w:val="ListBullet"/>
      </w:pPr>
      <w:r>
        <w:rPr>
          <w:rFonts w:ascii="Consolas" w:hAnsi="Consolas"/>
          <w:sz w:val="18"/>
        </w:rPr>
        <w:t>escolhe agente/modelo</w:t>
      </w:r>
    </w:p>
    <w:p>
      <w:pPr>
        <w:pStyle w:val="ListBullet"/>
      </w:pPr>
      <w:r>
        <w:rPr>
          <w:rFonts w:ascii="Consolas" w:hAnsi="Consolas"/>
          <w:sz w:val="18"/>
        </w:rPr>
        <w:t>aplica política de dados</w:t>
      </w:r>
    </w:p>
    <w:p>
      <w:pPr/>
      <w:r>
        <w:rPr>
          <w:rFonts w:ascii="Consolas" w:hAnsi="Consolas"/>
          <w:sz w:val="18"/>
        </w:rPr>
        <w:t>|</w:t>
      </w:r>
    </w:p>
    <w:p>
      <w:pPr/>
      <w:r>
        <w:rPr>
          <w:rFonts w:ascii="Consolas" w:hAnsi="Consolas"/>
          <w:sz w:val="18"/>
        </w:rPr>
        <w:t>+-------+--------+</w:t>
      </w:r>
    </w:p>
    <w:p>
      <w:pPr/>
      <w:r>
        <w:rPr>
          <w:rFonts w:ascii="Consolas" w:hAnsi="Consolas"/>
          <w:sz w:val="18"/>
        </w:rPr>
        <w:t>|                |</w:t>
      </w:r>
    </w:p>
    <w:p>
      <w:pPr/>
      <w:r>
        <w:rPr>
          <w:rFonts w:ascii="Consolas" w:hAnsi="Consolas"/>
          <w:sz w:val="18"/>
        </w:rPr>
        <w:t>v                v</w:t>
      </w:r>
    </w:p>
    <w:p>
      <w:pPr/>
      <w:r>
        <w:rPr>
          <w:rFonts w:ascii="Consolas" w:hAnsi="Consolas"/>
          <w:sz w:val="18"/>
        </w:rPr>
        <w:t>Agente especialista  QA/Compliance</w:t>
      </w:r>
    </w:p>
    <w:p>
      <w:pPr>
        <w:pStyle w:val="ListBullet"/>
      </w:pPr>
      <w:r>
        <w:rPr>
          <w:rFonts w:ascii="Consolas" w:hAnsi="Consolas"/>
          <w:sz w:val="18"/>
        </w:rPr>
        <w:t>pesquisa           - fontes</w:t>
      </w:r>
    </w:p>
    <w:p>
      <w:pPr>
        <w:pStyle w:val="ListBullet"/>
      </w:pPr>
      <w:r>
        <w:rPr>
          <w:rFonts w:ascii="Consolas" w:hAnsi="Consolas"/>
          <w:sz w:val="18"/>
        </w:rPr>
        <w:t>conteúdo           - claims</w:t>
      </w:r>
    </w:p>
    <w:p>
      <w:pPr>
        <w:pStyle w:val="ListBullet"/>
      </w:pPr>
      <w:r>
        <w:rPr>
          <w:rFonts w:ascii="Consolas" w:hAnsi="Consolas"/>
          <w:sz w:val="18"/>
        </w:rPr>
        <w:t>prospecção         - LGPD/setor</w:t>
      </w:r>
    </w:p>
    <w:p>
      <w:pPr>
        <w:pStyle w:val="ListBullet"/>
      </w:pPr>
      <w:r>
        <w:rPr>
          <w:rFonts w:ascii="Consolas" w:hAnsi="Consolas"/>
          <w:sz w:val="18"/>
        </w:rPr>
        <w:t>relatório          - formato</w:t>
      </w:r>
    </w:p>
    <w:p>
      <w:pPr/>
      <w:r>
        <w:rPr>
          <w:rFonts w:ascii="Consolas" w:hAnsi="Consolas"/>
          <w:sz w:val="18"/>
        </w:rPr>
        <w:t>|                |</w:t>
      </w:r>
    </w:p>
    <w:p>
      <w:pPr/>
      <w:r>
        <w:rPr>
          <w:rFonts w:ascii="Consolas" w:hAnsi="Consolas"/>
          <w:sz w:val="18"/>
        </w:rPr>
        <w:t>+-------+--------+</w:t>
      </w:r>
    </w:p>
    <w:p>
      <w:pPr/>
      <w:r>
        <w:rPr>
          <w:rFonts w:ascii="Consolas" w:hAnsi="Consolas"/>
          <w:sz w:val="18"/>
        </w:rPr>
        <w:t>v</w:t>
      </w:r>
    </w:p>
    <w:p>
      <w:pPr/>
      <w:r>
        <w:rPr>
          <w:rFonts w:ascii="Consolas" w:hAnsi="Consolas"/>
          <w:sz w:val="18"/>
        </w:rPr>
        <w:t>Aprovação humana</w:t>
      </w:r>
    </w:p>
    <w:p>
      <w:pPr/>
      <w:r>
        <w:rPr>
          <w:rFonts w:ascii="Consolas" w:hAnsi="Consolas"/>
          <w:sz w:val="18"/>
        </w:rPr>
        <w:t>|</w:t>
      </w:r>
    </w:p>
    <w:p>
      <w:pPr/>
      <w:r>
        <w:rPr>
          <w:rFonts w:ascii="Consolas" w:hAnsi="Consolas"/>
          <w:sz w:val="18"/>
        </w:rPr>
        <w:t>+-------+--------+</w:t>
      </w:r>
    </w:p>
    <w:p>
      <w:pPr/>
      <w:r>
        <w:rPr>
          <w:rFonts w:ascii="Consolas" w:hAnsi="Consolas"/>
          <w:sz w:val="18"/>
        </w:rPr>
        <w:t>|                |</w:t>
      </w:r>
    </w:p>
    <w:p>
      <w:pPr/>
      <w:r>
        <w:rPr>
          <w:rFonts w:ascii="Consolas" w:hAnsi="Consolas"/>
          <w:sz w:val="18"/>
        </w:rPr>
        <w:t>v                v</w:t>
      </w:r>
    </w:p>
    <w:p>
      <w:pPr/>
      <w:r>
        <w:rPr>
          <w:rFonts w:ascii="Consolas" w:hAnsi="Consolas"/>
          <w:sz w:val="18"/>
        </w:rPr>
        <w:t>Publicar/enviar     Devolver/rejeitar</w:t>
      </w:r>
    </w:p>
    <w:p>
      <w:pPr/>
      <w:r>
        <w:rPr>
          <w:rFonts w:ascii="Consolas" w:hAnsi="Consolas"/>
          <w:sz w:val="18"/>
        </w:rPr>
        <w:t>|</w:t>
      </w:r>
    </w:p>
    <w:p>
      <w:pPr/>
      <w:r>
        <w:rPr>
          <w:rFonts w:ascii="Consolas" w:hAnsi="Consolas"/>
          <w:sz w:val="18"/>
        </w:rPr>
        <w:t>v</w:t>
      </w:r>
    </w:p>
    <w:p>
      <w:pPr/>
      <w:r>
        <w:rPr>
          <w:rFonts w:ascii="Consolas" w:hAnsi="Consolas"/>
          <w:sz w:val="18"/>
        </w:rPr>
        <w:t>Métricas, log e aprendizado aprovado</w:t>
      </w:r>
    </w:p>
    <w:p>
      <w:pPr>
        <w:pStyle w:val="Heading2"/>
      </w:pPr>
      <w:r>
        <w:t>Componentes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3383"/>
        <w:gridCol w:w="4971"/>
      </w:tblGrid>
      <w:tr>
        <w:trPr>
          <w:tblHeader/>
        </w:trPr>
        <w:tc>
          <w:tcPr>
            <w:tcW w:type="dxa" w:w="172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Componente</w:t>
            </w:r>
          </w:p>
        </w:tc>
        <w:tc>
          <w:tcPr>
            <w:tcW w:type="dxa" w:w="3383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Função</w:t>
            </w:r>
          </w:p>
        </w:tc>
        <w:tc>
          <w:tcPr>
            <w:tcW w:type="dxa" w:w="4971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Estado</w:t>
            </w:r>
          </w:p>
        </w:tc>
      </w:tr>
      <w:tr>
        <w:tc>
          <w:tcPr>
            <w:tcW w:type="dxa" w:w="172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Hermes WebUI</w:t>
            </w:r>
          </w:p>
        </w:tc>
        <w:tc>
          <w:tcPr>
            <w:tcW w:type="dxa" w:w="3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Entrada humana, revisão e acompanhamento</w:t>
            </w:r>
          </w:p>
        </w:tc>
        <w:tc>
          <w:tcPr>
            <w:tcW w:type="dxa" w:w="4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Configuração presente no projeto; funcionamento atual a verificar</w:t>
            </w:r>
          </w:p>
        </w:tc>
      </w:tr>
      <w:tr>
        <w:tc>
          <w:tcPr>
            <w:tcW w:type="dxa" w:w="172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Hermes gateway</w:t>
            </w:r>
          </w:p>
        </w:tc>
        <w:tc>
          <w:tcPr>
            <w:tcW w:type="dxa" w:w="3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Execução/orquestração interna</w:t>
            </w:r>
          </w:p>
        </w:tc>
        <w:tc>
          <w:tcPr>
            <w:tcW w:type="dxa" w:w="4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Confirmado no compose</w:t>
            </w:r>
          </w:p>
        </w:tc>
      </w:tr>
      <w:tr>
        <w:tc>
          <w:tcPr>
            <w:tcW w:type="dxa" w:w="172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Catálogo de agentes</w:t>
            </w:r>
          </w:p>
        </w:tc>
        <w:tc>
          <w:tcPr>
            <w:tcW w:type="dxa" w:w="3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Versões, owners, permissões e templates</w:t>
            </w:r>
          </w:p>
        </w:tc>
        <w:tc>
          <w:tcPr>
            <w:tcW w:type="dxa" w:w="4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 criar</w:t>
            </w:r>
          </w:p>
        </w:tc>
      </w:tr>
      <w:tr>
        <w:tc>
          <w:tcPr>
            <w:tcW w:type="dxa" w:w="172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Fila de trabalhos</w:t>
            </w:r>
          </w:p>
        </w:tc>
        <w:tc>
          <w:tcPr>
            <w:tcW w:type="dxa" w:w="3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Prioridade, SLA interno, status e reprocessamento</w:t>
            </w:r>
          </w:p>
        </w:tc>
        <w:tc>
          <w:tcPr>
            <w:tcW w:type="dxa" w:w="4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Hipótese; escolher mecanismo no piloto</w:t>
            </w:r>
          </w:p>
        </w:tc>
      </w:tr>
      <w:tr>
        <w:tc>
          <w:tcPr>
            <w:tcW w:type="dxa" w:w="172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Cofre de credenciais</w:t>
            </w:r>
          </w:p>
        </w:tc>
        <w:tc>
          <w:tcPr>
            <w:tcW w:type="dxa" w:w="3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Segredos fora de prompts e arquivos de saída</w:t>
            </w:r>
          </w:p>
        </w:tc>
        <w:tc>
          <w:tcPr>
            <w:tcW w:type="dxa" w:w="4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Obrigatório; implementação a definir</w:t>
            </w:r>
          </w:p>
        </w:tc>
      </w:tr>
      <w:tr>
        <w:tc>
          <w:tcPr>
            <w:tcW w:type="dxa" w:w="172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Repositório de evidências</w:t>
            </w:r>
          </w:p>
        </w:tc>
        <w:tc>
          <w:tcPr>
            <w:tcW w:type="dxa" w:w="3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Fontes, artefatos, logs e decisões</w:t>
            </w:r>
          </w:p>
        </w:tc>
        <w:tc>
          <w:tcPr>
            <w:tcW w:type="dxa" w:w="4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 criar</w:t>
            </w:r>
          </w:p>
        </w:tc>
      </w:tr>
      <w:tr>
        <w:tc>
          <w:tcPr>
            <w:tcW w:type="dxa" w:w="172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Motor de políticas</w:t>
            </w:r>
          </w:p>
        </w:tc>
        <w:tc>
          <w:tcPr>
            <w:tcW w:type="dxa" w:w="3383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Risco, aprovação e bloqueios por vertical/canal</w:t>
            </w:r>
          </w:p>
        </w:tc>
        <w:tc>
          <w:tcPr>
            <w:tcW w:type="dxa" w:w="4971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 criar</w:t>
            </w:r>
          </w:p>
        </w:tc>
      </w:tr>
      <w:tr>
        <w:tc>
          <w:tcPr>
            <w:tcW w:type="dxa" w:w="172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Integrações</w:t>
            </w:r>
          </w:p>
        </w:tc>
        <w:tc>
          <w:tcPr>
            <w:tcW w:type="dxa" w:w="3383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n8n, Ollama, AnyChat, Chatwoot, ERPNext e outras</w:t>
            </w:r>
          </w:p>
        </w:tc>
        <w:tc>
          <w:tcPr>
            <w:tcW w:type="dxa" w:w="4971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Disponíveis no ambiente ou documentadas, não confirmadas como conectadas</w:t>
            </w:r>
          </w:p>
        </w:tc>
      </w:tr>
    </w:tbl>
    <w:p>
      <w:pPr>
        <w:spacing w:after="40"/>
      </w:pPr>
    </w:p>
    <w:p>
      <w:pPr>
        <w:pStyle w:val="Heading1"/>
      </w:pPr>
      <w:r>
        <w:t>Contrato universal de trabalho</w:t>
      </w:r>
    </w:p>
    <w:p>
      <w:pPr/>
      <w:r>
        <w:t>Todo job enviado ao Hermes deve conter:</w:t>
      </w:r>
    </w:p>
    <w:p>
      <w:pPr/>
      <w:r>
        <w:rPr>
          <w:rFonts w:ascii="Consolas" w:hAnsi="Consolas"/>
          <w:sz w:val="18"/>
        </w:rPr>
        <w:t>job_id: identificador_não_sensível</w:t>
      </w:r>
    </w:p>
    <w:p>
      <w:pPr/>
      <w:r>
        <w:rPr>
          <w:rFonts w:ascii="Consolas" w:hAnsi="Consolas"/>
          <w:sz w:val="18"/>
        </w:rPr>
        <w:t>objetivo: resultado específico</w:t>
      </w:r>
    </w:p>
    <w:p>
      <w:pPr/>
      <w:r>
        <w:rPr>
          <w:rFonts w:ascii="Consolas" w:hAnsi="Consolas"/>
          <w:sz w:val="18"/>
        </w:rPr>
        <w:t>vertical: odontologia|estetica|advocacia|imobiliaria|contabilidade|geral</w:t>
      </w:r>
    </w:p>
    <w:p>
      <w:pPr/>
      <w:r>
        <w:rPr>
          <w:rFonts w:ascii="Consolas" w:hAnsi="Consolas"/>
          <w:sz w:val="18"/>
        </w:rPr>
        <w:t>solicitante: papel_interno</w:t>
      </w:r>
    </w:p>
    <w:p>
      <w:pPr/>
      <w:r>
        <w:rPr>
          <w:rFonts w:ascii="Consolas" w:hAnsi="Consolas"/>
          <w:sz w:val="18"/>
        </w:rPr>
        <w:t>owner_humano: papel_responsável</w:t>
      </w:r>
    </w:p>
    <w:p>
      <w:pPr/>
      <w:r>
        <w:rPr>
          <w:rFonts w:ascii="Consolas" w:hAnsi="Consolas"/>
          <w:sz w:val="18"/>
        </w:rPr>
        <w:t>fontes_permitidas: lista</w:t>
      </w:r>
    </w:p>
    <w:p>
      <w:pPr/>
      <w:r>
        <w:rPr>
          <w:rFonts w:ascii="Consolas" w:hAnsi="Consolas"/>
          <w:sz w:val="18"/>
        </w:rPr>
        <w:t>dados_permitidos: categorias_mínimas</w:t>
      </w:r>
    </w:p>
    <w:p>
      <w:pPr/>
      <w:r>
        <w:rPr>
          <w:rFonts w:ascii="Consolas" w:hAnsi="Consolas"/>
          <w:sz w:val="18"/>
        </w:rPr>
        <w:t>dados_proibidos: categorias</w:t>
      </w:r>
    </w:p>
    <w:p>
      <w:pPr/>
      <w:r>
        <w:rPr>
          <w:rFonts w:ascii="Consolas" w:hAnsi="Consolas"/>
          <w:sz w:val="18"/>
        </w:rPr>
        <w:t>canal_destino: rascunho|email|whatsapp|social|relatorio|interno</w:t>
      </w:r>
    </w:p>
    <w:p>
      <w:pPr/>
      <w:r>
        <w:rPr>
          <w:rFonts w:ascii="Consolas" w:hAnsi="Consolas"/>
          <w:sz w:val="18"/>
        </w:rPr>
        <w:t>prazo: data_hora</w:t>
      </w:r>
    </w:p>
    <w:p>
      <w:pPr/>
      <w:r>
        <w:rPr>
          <w:rFonts w:ascii="Consolas" w:hAnsi="Consolas"/>
          <w:sz w:val="18"/>
        </w:rPr>
        <w:t>risco: baixo|medio|alto</w:t>
      </w:r>
    </w:p>
    <w:p>
      <w:pPr/>
      <w:r>
        <w:rPr>
          <w:rFonts w:ascii="Consolas" w:hAnsi="Consolas"/>
          <w:sz w:val="18"/>
        </w:rPr>
        <w:t>aprovacoes_exigidas: lista_de_papeis</w:t>
      </w:r>
    </w:p>
    <w:p>
      <w:pPr/>
      <w:r>
        <w:rPr>
          <w:rFonts w:ascii="Consolas" w:hAnsi="Consolas"/>
          <w:sz w:val="18"/>
        </w:rPr>
        <w:t>criterios_de_aceite: lista</w:t>
      </w:r>
    </w:p>
    <w:p>
      <w:pPr/>
      <w:r>
        <w:t>Saída padrão:</w:t>
      </w:r>
    </w:p>
    <w:p>
      <w:pPr/>
      <w:r>
        <w:rPr>
          <w:rFonts w:ascii="Consolas" w:hAnsi="Consolas"/>
          <w:sz w:val="18"/>
        </w:rPr>
        <w:t>status: concluido|parcial|bloqueado|rejeitado</w:t>
      </w:r>
    </w:p>
    <w:p>
      <w:pPr/>
      <w:r>
        <w:rPr>
          <w:rFonts w:ascii="Consolas" w:hAnsi="Consolas"/>
          <w:sz w:val="18"/>
        </w:rPr>
        <w:t>resumo: texto_curto</w:t>
      </w:r>
    </w:p>
    <w:p>
      <w:pPr/>
      <w:r>
        <w:rPr>
          <w:rFonts w:ascii="Consolas" w:hAnsi="Consolas"/>
          <w:sz w:val="18"/>
        </w:rPr>
        <w:t>artefatos: lista</w:t>
      </w:r>
    </w:p>
    <w:p>
      <w:pPr/>
      <w:r>
        <w:rPr>
          <w:rFonts w:ascii="Consolas" w:hAnsi="Consolas"/>
          <w:sz w:val="18"/>
        </w:rPr>
        <w:t>fontes: url_data_trecho</w:t>
      </w:r>
    </w:p>
    <w:p>
      <w:pPr/>
      <w:r>
        <w:rPr>
          <w:rFonts w:ascii="Consolas" w:hAnsi="Consolas"/>
          <w:sz w:val="18"/>
        </w:rPr>
        <w:t>fatos: lista</w:t>
      </w:r>
    </w:p>
    <w:p>
      <w:pPr/>
      <w:r>
        <w:rPr>
          <w:rFonts w:ascii="Consolas" w:hAnsi="Consolas"/>
          <w:sz w:val="18"/>
        </w:rPr>
        <w:t>hipoteses: lista</w:t>
      </w:r>
    </w:p>
    <w:p>
      <w:pPr/>
      <w:r>
        <w:rPr>
          <w:rFonts w:ascii="Consolas" w:hAnsi="Consolas"/>
          <w:sz w:val="18"/>
        </w:rPr>
        <w:t>riscos: lista</w:t>
      </w:r>
    </w:p>
    <w:p>
      <w:pPr/>
      <w:r>
        <w:rPr>
          <w:rFonts w:ascii="Consolas" w:hAnsi="Consolas"/>
          <w:sz w:val="18"/>
        </w:rPr>
        <w:t>dados_pessoais_encontrados: sim_nao_e_categorias</w:t>
      </w:r>
    </w:p>
    <w:p>
      <w:pPr/>
      <w:r>
        <w:rPr>
          <w:rFonts w:ascii="Consolas" w:hAnsi="Consolas"/>
          <w:sz w:val="18"/>
        </w:rPr>
        <w:t>aprovacoes_pendentes: lista</w:t>
      </w:r>
    </w:p>
    <w:p>
      <w:pPr/>
      <w:r>
        <w:rPr>
          <w:rFonts w:ascii="Consolas" w:hAnsi="Consolas"/>
          <w:sz w:val="18"/>
        </w:rPr>
        <w:t>acao_recomendada: texto</w:t>
      </w:r>
    </w:p>
    <w:p>
      <w:pPr/>
      <w:r>
        <w:rPr>
          <w:rFonts w:ascii="Consolas" w:hAnsi="Consolas"/>
          <w:sz w:val="18"/>
        </w:rPr>
        <w:t>metricas_execucao: duração_custo_erros</w:t>
      </w:r>
    </w:p>
    <w:p>
      <w:pPr>
        <w:pStyle w:val="Heading1"/>
      </w:pPr>
      <w:r>
        <w:t>Catálogo de especializações para implantação progressiva</w:t>
      </w:r>
    </w:p>
    <w:p>
      <w:pPr>
        <w:pStyle w:val="Heading2"/>
      </w:pPr>
      <w:r>
        <w:t>Hermes Orquestrador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receber pedido, verificar completude, classificar risco, decompor o trabalho, chamar agentes e impedir saída sem aprovação.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contrato de trabalho, catálogo de agentes, políticas, capacidade disponível.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plano de execução, tarefas-filhas, estado consolidado, pedido de aprovação ou bloqueio.</w:t>
      </w:r>
    </w:p>
    <w:p>
      <w:pPr/>
      <w:r/>
      <w:r>
        <w:rPr>
          <w:rFonts w:ascii="Calibri" w:hAnsi="Calibri"/>
          <w:b/>
          <w:color w:val="000000"/>
        </w:rPr>
        <w:t>Ferramentas propostas:</w:t>
      </w:r>
      <w:r>
        <w:t xml:space="preserve"> Hermes; fila e armazenamento a definir; integrações apenas após homologação.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não executar destino externo por padrão; não reduzir risco manualmente; encerrar quando fonte ou autorização estiver ausente.</w:t>
      </w:r>
    </w:p>
    <w:p>
      <w:pPr>
        <w:pStyle w:val="Heading2"/>
      </w:pPr>
      <w:r>
        <w:t>Agente de Pesquisa de Mercado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produzir panoramas de mercado verificáveis por vertical, região e período.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pergunta, recorte, fontes permitidas, período e formato.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achados, fatos, hipóteses, tendências, limitações, fontes e perguntas para entrevistas.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navegador/fontes públicas; repositório interno aprovado; planilha ou documento de saída.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priorizar fontes primárias; registrar data; não inventar TAM, preço ou participação; não coletar dados pessoais desnecessários.</w:t>
      </w:r>
    </w:p>
    <w:p>
      <w:pPr/>
      <w:r/>
      <w:r>
        <w:rPr>
          <w:rFonts w:ascii="Calibri" w:hAnsi="Calibri"/>
          <w:b/>
          <w:color w:val="000000"/>
        </w:rPr>
        <w:t>Aprovação:</w:t>
      </w:r>
      <w:r>
        <w:t xml:space="preserve"> analista de mercado ou líder comercial.</w:t>
      </w:r>
    </w:p>
    <w:p>
      <w:pPr>
        <w:pStyle w:val="Heading2"/>
      </w:pPr>
      <w:r>
        <w:t>Agente de Inteligência Competitiva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comparar posicionamento, oferta pública, mensagens, integrações declaradas e sinais de mercado.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concorrentes autorizados, dimensões, geografia e período.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matriz de evidências, lacunas, diferenças confirmadas e hipóteses de oportunidade.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sites públicos, documentação, bases contratadas quando licenciadas.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nada de login indevido, scraping proibido, engenharia social ou acesso a segredo; preço e recurso precisam de data e URL.</w:t>
      </w:r>
    </w:p>
    <w:p>
      <w:pPr>
        <w:pStyle w:val="Heading2"/>
      </w:pPr>
      <w:r>
        <w:t>Agente de Prospecção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pesquisar contas, identificar sinais públicos e criar rascunhos personalizados.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ICP, contas permitidas, sinais, canal, política de contato e opt-out.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ficha da conta, hipótese de dor, rascunho, motivo de contato e risco regulatório.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fontes públicas; CRM apenas se integração for homologada; nunca enviar diretamente na fase inicial.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não obter lista clandestina; não inferir saúde, religião ou dado sensível; não usar WhatsApp frio; advocacia recebe política “inbound/conteúdo”, sem captação.</w:t>
      </w:r>
    </w:p>
    <w:p>
      <w:pPr>
        <w:pStyle w:val="Heading2"/>
      </w:pPr>
      <w:r>
        <w:t>Agente de Qualificação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preparar perguntas e resumir respostas para encaminhamento humano.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conversa autorizada, score, critérios e vertical.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resumo, score explicável, campos faltantes, riscos e próxima ação.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AnyChat/CRM apenas após integração; formulário estruturado.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não tomar decisão clínica, jurídica, tributária ou de crédito; não desqualificar com atributo protegido; score sempre explicável e revisável.</w:t>
      </w:r>
    </w:p>
    <w:p>
      <w:pPr>
        <w:pStyle w:val="Heading2"/>
      </w:pPr>
      <w:r>
        <w:t>Agente Social Content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planejar e redigir conteúdo orgânico ou pago dentro das regras da vertical.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objetivo, persona, canal, identidade, fontes, claims permitidos e calendário.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pauta, copy, criativo sugerido, CTA, fontes, checklist regulatório e variações.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biblioteca de marca, fontes aprovadas e editor; publicação automática inicialmente bloqueada.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sem depoimento/imagem sem autorização; sem promessa; sem captação indevida; toda peça regulada exige aprovador técnico.</w:t>
      </w:r>
    </w:p>
    <w:p>
      <w:pPr>
        <w:pStyle w:val="Heading2"/>
      </w:pPr>
      <w:r>
        <w:t>Agente de Roteiros de Vídeo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criar roteiro, storyboard textual, lista de takes e legenda.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tema, duração, apresentador, público, plataforma, fontes e restrições.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gancho, roteiro por cena, textos na tela, CTA, disclaimer e checklist de gravação.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sinalizar afirmações que exigem fonte; impedir diagnóstico, resultado garantido, conselho jurídico ou tributário individualizado; uso de imagem exige autorização.</w:t>
      </w:r>
    </w:p>
    <w:p>
      <w:pPr>
        <w:pStyle w:val="Heading2"/>
      </w:pPr>
      <w:r>
        <w:t>Agente de Lives e Webinars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planejar evento ao vivo, pauta, convidados, perguntas, moderação e reaproveitamento.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tema, data, vertical, convidados, canal, política e objetivo.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run of show, briefing, perguntas aprovadas, regras de moderação, CTA e pacote pós-evento.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moderador humano; perguntas individuais sensíveis não são respondidas ao vivo; registrar consentimento de convidados; não expor caso de cliente.</w:t>
      </w:r>
    </w:p>
    <w:p>
      <w:pPr>
        <w:pStyle w:val="Heading2"/>
      </w:pPr>
      <w:r>
        <w:t>Agente de Promoções e Campanhas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criar plano e rascunhos de campanha, sem disparar autonomamente.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oferta aprovada, audiência, base legal, canal, janela, template e limites.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briefing, segmentos permitidos, mensagem, frequência, teste, opt-out e métricas.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campanha WABA do AnyChat somente após homologação; n8n/CRM como hipótese.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WABA, template aprovado e Dry run; bloquear advocacia promocional/captação; revisar saúde/estética pelo RT; bloquear claims ou escassez não comprovados.</w:t>
      </w:r>
    </w:p>
    <w:p>
      <w:pPr>
        <w:pStyle w:val="Heading2"/>
      </w:pPr>
      <w:r>
        <w:t>Agente QA Compliance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atuar como gate independente antes de saída externa.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artefato, vertical, fontes, audiência, canal, dados e política vigente.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aprovado, aprovado com correções, rejeitado; motivos, trechos e aprovadores necessários.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políticas versionadas, regras determinísticas, detectores de dados, fontes oficiais.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não pode ser ignorado pelo agente autor; risco alto sempre sobe para humano; atualização normativa tem responsável e data.</w:t>
      </w:r>
    </w:p>
    <w:p>
      <w:pPr>
        <w:pStyle w:val="Heading2"/>
      </w:pPr>
      <w:r>
        <w:t>Agente de Reporting</w:t>
      </w:r>
    </w:p>
    <w:p>
      <w:pPr/>
      <w:r/>
      <w:r>
        <w:rPr>
          <w:rFonts w:ascii="Calibri" w:hAnsi="Calibri"/>
          <w:b/>
          <w:color w:val="000000"/>
        </w:rPr>
        <w:t>Missão:</w:t>
      </w:r>
      <w:r>
        <w:t xml:space="preserve"> consolidar métricas e narrar resultados sem confundir correlação com causalidade.</w:t>
      </w:r>
    </w:p>
    <w:p>
      <w:pPr/>
      <w:r/>
      <w:r>
        <w:rPr>
          <w:rFonts w:ascii="Calibri" w:hAnsi="Calibri"/>
          <w:b/>
          <w:color w:val="000000"/>
        </w:rPr>
        <w:t>Entradas:</w:t>
      </w:r>
      <w:r>
        <w:t xml:space="preserve"> métricas definidas, período, fonte, baseline, meta e qualidade dos dados.</w:t>
      </w:r>
    </w:p>
    <w:p>
      <w:pPr/>
      <w:r/>
      <w:r>
        <w:rPr>
          <w:rFonts w:ascii="Calibri" w:hAnsi="Calibri"/>
          <w:b/>
          <w:color w:val="000000"/>
        </w:rPr>
        <w:t>Saídas:</w:t>
      </w:r>
      <w:r>
        <w:t xml:space="preserve"> dashboard/resumo, desvios, limitações, decisões e ações.</w:t>
      </w:r>
    </w:p>
    <w:p>
      <w:pPr/>
      <w:r/>
      <w:r>
        <w:rPr>
          <w:rFonts w:ascii="Calibri" w:hAnsi="Calibri"/>
          <w:b/>
          <w:color w:val="000000"/>
        </w:rPr>
        <w:t>Ferramentas:</w:t>
      </w:r>
      <w:r>
        <w:t xml:space="preserve"> exportações, planilhas, CRM/AnyChat apenas após acesso aprovado.</w:t>
      </w:r>
    </w:p>
    <w:p>
      <w:pPr/>
      <w:r/>
      <w:r>
        <w:rPr>
          <w:rFonts w:ascii="Calibri" w:hAnsi="Calibri"/>
          <w:b/>
          <w:color w:val="000000"/>
        </w:rPr>
        <w:t>Limites de segurança:</w:t>
      </w:r>
      <w:r>
        <w:t xml:space="preserve"> não preencher N/D com estimativa; mostrar denominador; separar observado de atribuído; ocultar/anonimizar dados pessoais.</w:t>
      </w:r>
    </w:p>
    <w:p>
      <w:pPr>
        <w:pStyle w:val="Heading1"/>
      </w:pPr>
      <w:r>
        <w:t>Fábrica de agentes</w:t>
      </w:r>
    </w:p>
    <w:p>
      <w:pPr>
        <w:pStyle w:val="Heading2"/>
      </w:pPr>
      <w:r>
        <w:t>Processo de criação</w:t>
      </w:r>
    </w:p>
    <w:p>
      <w:pPr/>
      <w:r>
        <w:t xml:space="preserve">1. </w:t>
      </w:r>
      <w:r>
        <w:rPr>
          <w:rFonts w:ascii="Calibri" w:hAnsi="Calibri"/>
          <w:b/>
          <w:color w:val="000000"/>
        </w:rPr>
        <w:t>Intake:</w:t>
      </w:r>
      <w:r>
        <w:t xml:space="preserve"> problema, frequência, responsável, risco, dados, destino e benefício esperado.</w:t>
      </w:r>
    </w:p>
    <w:p>
      <w:pPr/>
      <w:r>
        <w:t xml:space="preserve">2. </w:t>
      </w:r>
      <w:r>
        <w:rPr>
          <w:rFonts w:ascii="Calibri" w:hAnsi="Calibri"/>
          <w:b/>
          <w:color w:val="000000"/>
        </w:rPr>
        <w:t>Decisão build/no-build:</w:t>
      </w:r>
      <w:r>
        <w:t xml:space="preserve"> não criar agente para tarefa rara, sem responsável ou sem critério de aceite.</w:t>
      </w:r>
    </w:p>
    <w:p>
      <w:pPr/>
      <w:r>
        <w:t xml:space="preserve">3. </w:t>
      </w:r>
      <w:r>
        <w:rPr>
          <w:rFonts w:ascii="Calibri" w:hAnsi="Calibri"/>
          <w:b/>
          <w:color w:val="000000"/>
        </w:rPr>
        <w:t>Especificação:</w:t>
      </w:r>
      <w:r>
        <w:t xml:space="preserve"> missão, entradas, saídas, ferramentas, limites e exemplos.</w:t>
      </w:r>
    </w:p>
    <w:p>
      <w:pPr/>
      <w:r>
        <w:t xml:space="preserve">4. </w:t>
      </w:r>
      <w:r>
        <w:rPr>
          <w:rFonts w:ascii="Calibri" w:hAnsi="Calibri"/>
          <w:b/>
          <w:color w:val="000000"/>
        </w:rPr>
        <w:t>Threat model:</w:t>
      </w:r>
      <w:r>
        <w:t xml:space="preserve"> dados, prompt injection, exfiltração, abuso de canal, erro profissional e reputação.</w:t>
      </w:r>
    </w:p>
    <w:p>
      <w:pPr/>
      <w:r>
        <w:t xml:space="preserve">5. </w:t>
      </w:r>
      <w:r>
        <w:rPr>
          <w:rFonts w:ascii="Calibri" w:hAnsi="Calibri"/>
          <w:b/>
          <w:color w:val="000000"/>
        </w:rPr>
        <w:t>Protótipo offline:</w:t>
      </w:r>
      <w:r>
        <w:t xml:space="preserve"> arquivos sintéticos e sem ferramenta de escrita externa.</w:t>
      </w:r>
    </w:p>
    <w:p>
      <w:pPr/>
      <w:r>
        <w:t xml:space="preserve">6. </w:t>
      </w:r>
      <w:r>
        <w:rPr>
          <w:rFonts w:ascii="Calibri" w:hAnsi="Calibri"/>
          <w:b/>
          <w:color w:val="000000"/>
        </w:rPr>
        <w:t>Avaliação:</w:t>
      </w:r>
      <w:r>
        <w:t xml:space="preserve"> conjunto de casos feliz, ambíguo, adversarial e regulado.</w:t>
      </w:r>
    </w:p>
    <w:p>
      <w:pPr/>
      <w:r>
        <w:t xml:space="preserve">7. </w:t>
      </w:r>
      <w:r>
        <w:rPr>
          <w:rFonts w:ascii="Calibri" w:hAnsi="Calibri"/>
          <w:b/>
          <w:color w:val="000000"/>
        </w:rPr>
        <w:t>Shadow mode:</w:t>
      </w:r>
      <w:r>
        <w:t xml:space="preserve"> agente produz rascunho; humano executa a ação real.</w:t>
      </w:r>
    </w:p>
    <w:p>
      <w:pPr/>
      <w:r>
        <w:t xml:space="preserve">8. </w:t>
      </w:r>
      <w:r>
        <w:rPr>
          <w:rFonts w:ascii="Calibri" w:hAnsi="Calibri"/>
          <w:b/>
          <w:color w:val="000000"/>
        </w:rPr>
        <w:t>Piloto limitado:</w:t>
      </w:r>
      <w:r>
        <w:t xml:space="preserve"> pequena audiência, limites de volume e rollback.</w:t>
      </w:r>
    </w:p>
    <w:p>
      <w:pPr/>
      <w:r>
        <w:t xml:space="preserve">9. </w:t>
      </w:r>
      <w:r>
        <w:rPr>
          <w:rFonts w:ascii="Calibri" w:hAnsi="Calibri"/>
          <w:b/>
          <w:color w:val="000000"/>
        </w:rPr>
        <w:t>Produção supervisionada:</w:t>
      </w:r>
      <w:r>
        <w:t xml:space="preserve"> autonomia somente no risco baixo.</w:t>
      </w:r>
    </w:p>
    <w:p>
      <w:pPr/>
      <w:r>
        <w:t xml:space="preserve">10. </w:t>
      </w:r>
      <w:r>
        <w:rPr>
          <w:rFonts w:ascii="Calibri" w:hAnsi="Calibri"/>
          <w:b/>
          <w:color w:val="000000"/>
        </w:rPr>
        <w:t>Revisão:</w:t>
      </w:r>
      <w:r>
        <w:t xml:space="preserve"> métricas, incidentes, atualização de política e desativação quando necessário.</w:t>
      </w:r>
    </w:p>
    <w:p>
      <w:pPr>
        <w:pStyle w:val="Heading2"/>
      </w:pPr>
      <w:r>
        <w:t>Cartão de agente obrigatório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66"/>
        <w:gridCol w:w="7514"/>
      </w:tblGrid>
      <w:tr>
        <w:trPr>
          <w:tblHeader/>
        </w:trPr>
        <w:tc>
          <w:tcPr>
            <w:tcW w:type="dxa" w:w="256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Campo</w:t>
            </w:r>
          </w:p>
        </w:tc>
        <w:tc>
          <w:tcPr>
            <w:tcW w:type="dxa" w:w="751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Conteúdo</w:t>
            </w:r>
          </w:p>
        </w:tc>
      </w:tr>
      <w:tr>
        <w:tc>
          <w:tcPr>
            <w:tcW w:type="dxa" w:w="25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Nome e versão</w:t>
            </w:r>
          </w:p>
        </w:tc>
        <w:tc>
          <w:tcPr>
            <w:tcW w:type="dxa" w:w="75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Identificação imutável da versão</w:t>
            </w:r>
          </w:p>
        </w:tc>
      </w:tr>
      <w:tr>
        <w:tc>
          <w:tcPr>
            <w:tcW w:type="dxa" w:w="25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Responsável</w:t>
            </w:r>
          </w:p>
        </w:tc>
        <w:tc>
          <w:tcPr>
            <w:tcW w:type="dxa" w:w="75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Pessoa responsável pela operação</w:t>
            </w:r>
          </w:p>
        </w:tc>
      </w:tr>
      <w:tr>
        <w:tc>
          <w:tcPr>
            <w:tcW w:type="dxa" w:w="25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Missão</w:t>
            </w:r>
          </w:p>
        </w:tc>
        <w:tc>
          <w:tcPr>
            <w:tcW w:type="dxa" w:w="75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Uma finalidade específica</w:t>
            </w:r>
          </w:p>
        </w:tc>
      </w:tr>
      <w:tr>
        <w:tc>
          <w:tcPr>
            <w:tcW w:type="dxa" w:w="25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Fora de escopo</w:t>
            </w:r>
          </w:p>
        </w:tc>
        <w:tc>
          <w:tcPr>
            <w:tcW w:type="dxa" w:w="75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Ações proibidas</w:t>
            </w:r>
          </w:p>
        </w:tc>
      </w:tr>
      <w:tr>
        <w:tc>
          <w:tcPr>
            <w:tcW w:type="dxa" w:w="25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Dados</w:t>
            </w:r>
          </w:p>
        </w:tc>
        <w:tc>
          <w:tcPr>
            <w:tcW w:type="dxa" w:w="75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Entradas permitidas, sensíveis e retenção</w:t>
            </w:r>
          </w:p>
        </w:tc>
      </w:tr>
      <w:tr>
        <w:tc>
          <w:tcPr>
            <w:tcW w:type="dxa" w:w="25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Ferramentas</w:t>
            </w:r>
          </w:p>
        </w:tc>
        <w:tc>
          <w:tcPr>
            <w:tcW w:type="dxa" w:w="75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Leitura, escrita e destinos</w:t>
            </w:r>
          </w:p>
        </w:tc>
      </w:tr>
      <w:tr>
        <w:tc>
          <w:tcPr>
            <w:tcW w:type="dxa" w:w="25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Aprovação</w:t>
            </w:r>
          </w:p>
        </w:tc>
        <w:tc>
          <w:tcPr>
            <w:tcW w:type="dxa" w:w="75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Quem aprova cada risco/canal</w:t>
            </w:r>
          </w:p>
        </w:tc>
      </w:tr>
      <w:tr>
        <w:tc>
          <w:tcPr>
            <w:tcW w:type="dxa" w:w="25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Avaliações</w:t>
            </w:r>
          </w:p>
        </w:tc>
        <w:tc>
          <w:tcPr>
            <w:tcW w:type="dxa" w:w="75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Casos e limiar de aceite</w:t>
            </w:r>
          </w:p>
        </w:tc>
      </w:tr>
      <w:tr>
        <w:tc>
          <w:tcPr>
            <w:tcW w:type="dxa" w:w="256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Métricas</w:t>
            </w:r>
          </w:p>
        </w:tc>
        <w:tc>
          <w:tcPr>
            <w:tcW w:type="dxa" w:w="751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Qualidade, segurança, custo e tempo</w:t>
            </w:r>
          </w:p>
        </w:tc>
      </w:tr>
      <w:tr>
        <w:tc>
          <w:tcPr>
            <w:tcW w:type="dxa" w:w="256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Rollback</w:t>
            </w:r>
          </w:p>
        </w:tc>
        <w:tc>
          <w:tcPr>
            <w:tcW w:type="dxa" w:w="751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Como desligar e restaurar processo manual</w:t>
            </w:r>
          </w:p>
        </w:tc>
      </w:tr>
    </w:tbl>
    <w:p>
      <w:pPr>
        <w:spacing w:after="40"/>
      </w:pPr>
    </w:p>
    <w:p>
      <w:pPr>
        <w:pStyle w:val="Heading1"/>
      </w:pPr>
      <w:r>
        <w:t>Limites de segurança transversais</w:t>
      </w:r>
    </w:p>
    <w:p>
      <w:pPr>
        <w:pStyle w:val="Heading2"/>
      </w:pPr>
      <w:r>
        <w:t>LGPD e segurança</w:t>
      </w:r>
    </w:p>
    <w:p>
      <w:pPr>
        <w:pStyle w:val="ListBullet"/>
      </w:pPr>
      <w:r>
        <w:t>Definir controlador, operador e instruções contratuais para cada cliente.</w:t>
      </w:r>
    </w:p>
    <w:p>
      <w:pPr>
        <w:pStyle w:val="ListBullet"/>
      </w:pPr>
      <w:r>
        <w:t>Associar finalidade e hipótese legal por dado e processo; legítimo interesse exige finalidade, necessidade, balanceamento e salvaguardas e não se aplica a dados sensíveis.</w:t>
      </w:r>
    </w:p>
    <w:p>
      <w:pPr>
        <w:pStyle w:val="ListBullet"/>
      </w:pPr>
      <w:r>
        <w:t>Tratar saúde, biometria e outras categorias sensíveis com política específica; não usá-las para prospecção.</w:t>
      </w:r>
    </w:p>
    <w:p>
      <w:pPr>
        <w:pStyle w:val="ListBullet"/>
      </w:pPr>
      <w:r>
        <w:t>Coletar somente o necessário; separar tenants/clientes; mascarar logs; definir retenção e descarte.</w:t>
      </w:r>
    </w:p>
    <w:p>
      <w:pPr>
        <w:pStyle w:val="ListBullet"/>
      </w:pPr>
      <w:r>
        <w:t>Oferecer canal de direitos do titular e opt-out operacional.</w:t>
      </w:r>
    </w:p>
    <w:p>
      <w:pPr>
        <w:pStyle w:val="ListBullet"/>
      </w:pPr>
      <w:r>
        <w:t>Impedir segredos em prompt, output, log ou repositório comum.</w:t>
      </w:r>
    </w:p>
    <w:p>
      <w:pPr>
        <w:pStyle w:val="ListBullet"/>
      </w:pPr>
      <w:r>
        <w:t>Bloquear conteúdo externo que tente mudar instruções, pedir credenciais ou ampliar ferramentas.</w:t>
      </w:r>
    </w:p>
    <w:p>
      <w:pPr>
        <w:pStyle w:val="ListBullet"/>
      </w:pPr>
      <w:r>
        <w:t>Incidente ou vazamento interrompe o workflow e aciona o plano de resposta.</w:t>
      </w:r>
    </w:p>
    <w:p>
      <w:pPr/>
      <w:r>
        <w:t xml:space="preserve">Fontes: </w:t>
      </w:r>
      <w:hyperlink r:id="rId17">
        <w:r>
          <w:rPr>
            <w:color w:val="0563C1"/>
          </w:rPr>
          <w:t>LGPD</w:t>
        </w:r>
      </w:hyperlink>
      <w:r>
        <w:t xml:space="preserve">, </w:t>
      </w:r>
      <w:hyperlink r:id="rId18">
        <w:r>
          <w:rPr>
            <w:color w:val="0563C1"/>
          </w:rPr>
          <w:t>ANPD — agentes de tratamento</w:t>
        </w:r>
      </w:hyperlink>
      <w:r>
        <w:t xml:space="preserve"> e </w:t>
      </w:r>
      <w:hyperlink r:id="rId19">
        <w:r>
          <w:rPr>
            <w:color w:val="0563C1"/>
          </w:rPr>
          <w:t>ANPD — legítimo interesse</w:t>
        </w:r>
      </w:hyperlink>
      <w:r>
        <w:t>.</w:t>
      </w:r>
    </w:p>
    <w:p>
      <w:pPr>
        <w:pStyle w:val="Heading2"/>
      </w:pPr>
      <w:r>
        <w:t>Advocacia OAB</w:t>
      </w:r>
    </w:p>
    <w:p>
      <w:pPr>
        <w:pStyle w:val="ListBullet"/>
      </w:pPr>
      <w:r>
        <w:t>Conteúdo meramente informativo, discreto e sóbrio.</w:t>
      </w:r>
    </w:p>
    <w:p>
      <w:pPr>
        <w:pStyle w:val="ListBullet"/>
      </w:pPr>
      <w:r>
        <w:t>Bloquear honorários, descontos, gratuidade como captação, comparação, autoengrandecimento, promessa ou estímulo ao litígio.</w:t>
      </w:r>
    </w:p>
    <w:p>
      <w:pPr>
        <w:pStyle w:val="ListBullet"/>
      </w:pPr>
      <w:r>
        <w:t>Bloquear prospecção dirigida a potenciais partes/vítimas e campanhas de contratação.</w:t>
      </w:r>
    </w:p>
    <w:p>
      <w:pPr>
        <w:pStyle w:val="ListBullet"/>
      </w:pPr>
      <w:r>
        <w:t>Não usar decisões e resultados de casos como peça promocional.</w:t>
      </w:r>
    </w:p>
    <w:p>
      <w:pPr>
        <w:pStyle w:val="ListBullet"/>
      </w:pPr>
      <w:r>
        <w:t>Atendimento automatizado não dá parecer; contato é encaminhado a advogado.</w:t>
      </w:r>
    </w:p>
    <w:p>
      <w:pPr>
        <w:pStyle w:val="ListBullet"/>
      </w:pPr>
      <w:r>
        <w:t>Aprovação obrigatória do sócio/advogado responsável.</w:t>
      </w:r>
    </w:p>
    <w:p>
      <w:pPr/>
      <w:r>
        <w:t xml:space="preserve">Fonte: </w:t>
      </w:r>
      <w:hyperlink r:id="rId20">
        <w:r>
          <w:rPr>
            <w:color w:val="0563C1"/>
          </w:rPr>
          <w:t>Provimento 205/2021</w:t>
        </w:r>
      </w:hyperlink>
      <w:r>
        <w:t>.</w:t>
      </w:r>
    </w:p>
    <w:p>
      <w:pPr>
        <w:pStyle w:val="Heading2"/>
      </w:pPr>
      <w:r>
        <w:t>Odontologia CFO CRO</w:t>
      </w:r>
    </w:p>
    <w:p>
      <w:pPr>
        <w:pStyle w:val="ListBullet"/>
      </w:pPr>
      <w:r>
        <w:t>Não produzir diagnóstico, prescrição ou promessa de resultado.</w:t>
      </w:r>
    </w:p>
    <w:p>
      <w:pPr>
        <w:pStyle w:val="ListBullet"/>
      </w:pPr>
      <w:r>
        <w:t>Imagem de paciente exige TCLE e regras de autoria/identificação.</w:t>
      </w:r>
    </w:p>
    <w:p>
      <w:pPr>
        <w:pStyle w:val="ListBullet"/>
      </w:pPr>
      <w:r>
        <w:t>Bloquear vídeo/imagem do transcurso do procedimento, salvo contexto científico permitido.</w:t>
      </w:r>
    </w:p>
    <w:p>
      <w:pPr>
        <w:pStyle w:val="ListBullet"/>
      </w:pPr>
      <w:r>
        <w:t>Não presumir que clínica pessoa jurídica possa publicar caso do profissional.</w:t>
      </w:r>
    </w:p>
    <w:p>
      <w:pPr>
        <w:pStyle w:val="ListBullet"/>
      </w:pPr>
      <w:r>
        <w:t>Conteúdo e campanha passam pelo RT/profissional responsável.</w:t>
      </w:r>
    </w:p>
    <w:p>
      <w:pPr/>
      <w:r>
        <w:t xml:space="preserve">Fontes: </w:t>
      </w:r>
      <w:hyperlink r:id="rId21">
        <w:r>
          <w:rPr>
            <w:color w:val="0563C1"/>
          </w:rPr>
          <w:t>Resolução CFO 196/2019</w:t>
        </w:r>
      </w:hyperlink>
      <w:r>
        <w:t xml:space="preserve"> e </w:t>
      </w:r>
      <w:hyperlink r:id="rId22">
        <w:r>
          <w:rPr>
            <w:color w:val="0563C1"/>
          </w:rPr>
          <w:t>orientação CFO 2025</w:t>
        </w:r>
      </w:hyperlink>
      <w:r>
        <w:t>.</w:t>
      </w:r>
    </w:p>
    <w:p>
      <w:pPr>
        <w:pStyle w:val="Heading2"/>
      </w:pPr>
      <w:r>
        <w:t>Estética</w:t>
      </w:r>
    </w:p>
    <w:p>
      <w:pPr>
        <w:pStyle w:val="ListBullet"/>
      </w:pPr>
      <w:r>
        <w:t>“Estética” pode envolver categorias e conselhos diferentes; identificar profissão, RT e norma antes de produzir peça.</w:t>
      </w:r>
    </w:p>
    <w:p>
      <w:pPr>
        <w:pStyle w:val="ListBullet"/>
      </w:pPr>
      <w:r>
        <w:t>Bloquear diagnóstico, indicação, contraindicação, prescrição e garantia.</w:t>
      </w:r>
    </w:p>
    <w:p>
      <w:pPr>
        <w:pStyle w:val="ListBullet"/>
      </w:pPr>
      <w:r>
        <w:t>Exigir autorização de imagem e revisão de claims.</w:t>
      </w:r>
    </w:p>
    <w:p>
      <w:pPr>
        <w:pStyle w:val="ListBullet"/>
      </w:pPr>
      <w:r>
        <w:t>Promoção, influenciador e antes/depois permanecem bloqueados até aprovação específica.</w:t>
      </w:r>
    </w:p>
    <w:p>
      <w:pPr>
        <w:pStyle w:val="Heading2"/>
      </w:pPr>
      <w:r>
        <w:t>Imobiliárias</w:t>
      </w:r>
    </w:p>
    <w:p>
      <w:pPr>
        <w:pStyle w:val="ListBullet"/>
      </w:pPr>
      <w:r>
        <w:t>Anúncios e respostas devem usar dados atualizados e verificáveis.</w:t>
      </w:r>
    </w:p>
    <w:p>
      <w:pPr>
        <w:pStyle w:val="ListBullet"/>
      </w:pPr>
      <w:r>
        <w:t>Escassez, preço, disponibilidade e condição dependem de fonte oficial.</w:t>
      </w:r>
    </w:p>
    <w:p>
      <w:pPr>
        <w:pStyle w:val="ListBullet"/>
      </w:pPr>
      <w:r>
        <w:t>Evitar critérios discriminatórios ou inferência de atributo protegido.</w:t>
      </w:r>
    </w:p>
    <w:p>
      <w:pPr>
        <w:pStyle w:val="ListBullet"/>
      </w:pPr>
      <w:r>
        <w:t>Corretor valida circunstâncias, riscos e informações antes de oferecer negócio.</w:t>
      </w:r>
    </w:p>
    <w:p>
      <w:pPr>
        <w:pStyle w:val="ListBullet"/>
      </w:pPr>
      <w:r>
        <w:t>Qualquer perfil financeiro ou crédito usa processo separado e legalmente revisado.</w:t>
      </w:r>
    </w:p>
    <w:p>
      <w:pPr/>
      <w:r>
        <w:t xml:space="preserve">Referência: </w:t>
      </w:r>
      <w:hyperlink r:id="rId23">
        <w:r>
          <w:rPr>
            <w:color w:val="0563C1"/>
          </w:rPr>
          <w:t>COFECI</w:t>
        </w:r>
      </w:hyperlink>
      <w:r>
        <w:t>.</w:t>
      </w:r>
    </w:p>
    <w:p>
      <w:pPr>
        <w:pStyle w:val="Heading2"/>
      </w:pPr>
      <w:r>
        <w:t>Contabilidade CFC</w:t>
      </w:r>
    </w:p>
    <w:p>
      <w:pPr>
        <w:pStyle w:val="ListBullet"/>
      </w:pPr>
      <w:r>
        <w:t>Não automatizar conclusão tributária individual, assinatura ou responsabilidade técnica.</w:t>
      </w:r>
    </w:p>
    <w:p>
      <w:pPr>
        <w:pStyle w:val="ListBullet"/>
      </w:pPr>
      <w:r>
        <w:t>Publicidade técnica e científica, moderada, discreta e não mercantilista.</w:t>
      </w:r>
    </w:p>
    <w:p>
      <w:pPr>
        <w:pStyle w:val="ListBullet"/>
      </w:pPr>
      <w:r>
        <w:t>Bloquear garantia de restituição/economia, afirmação desproporcional e comparação depreciativa.</w:t>
      </w:r>
    </w:p>
    <w:p>
      <w:pPr>
        <w:pStyle w:val="ListBullet"/>
      </w:pPr>
      <w:r>
        <w:t>Incluir identificação profissional/organizacional exigida nas peças.</w:t>
      </w:r>
    </w:p>
    <w:p>
      <w:pPr>
        <w:pStyle w:val="ListBullet"/>
      </w:pPr>
      <w:r>
        <w:t>Proposta e conteúdo técnico exigem revisão do contador responsável.</w:t>
      </w:r>
    </w:p>
    <w:p>
      <w:pPr/>
      <w:r>
        <w:t xml:space="preserve">Fontes: </w:t>
      </w:r>
      <w:hyperlink r:id="rId24">
        <w:r>
          <w:rPr>
            <w:color w:val="0563C1"/>
          </w:rPr>
          <w:t>NBC PG 01</w:t>
        </w:r>
      </w:hyperlink>
      <w:r>
        <w:t xml:space="preserve">, </w:t>
      </w:r>
      <w:hyperlink r:id="rId25">
        <w:r>
          <w:rPr>
            <w:color w:val="0563C1"/>
          </w:rPr>
          <w:t>publicidade contábil</w:t>
        </w:r>
      </w:hyperlink>
      <w:r>
        <w:t xml:space="preserve"> e </w:t>
      </w:r>
      <w:hyperlink r:id="rId26">
        <w:r>
          <w:rPr>
            <w:color w:val="0563C1"/>
          </w:rPr>
          <w:t>identificação</w:t>
        </w:r>
      </w:hyperlink>
      <w:r>
        <w:t>.</w:t>
      </w:r>
    </w:p>
    <w:p>
      <w:pPr>
        <w:pStyle w:val="Heading1"/>
      </w:pPr>
      <w:r>
        <w:t>Níveis de risco e aprovação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50"/>
        <w:gridCol w:w="4372"/>
        <w:gridCol w:w="1640"/>
        <w:gridCol w:w="3218"/>
      </w:tblGrid>
      <w:tr>
        <w:trPr>
          <w:tblHeader/>
        </w:trPr>
        <w:tc>
          <w:tcPr>
            <w:tcW w:type="dxa" w:w="85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Nível</w:t>
            </w:r>
          </w:p>
        </w:tc>
        <w:tc>
          <w:tcPr>
            <w:tcW w:type="dxa" w:w="4372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Exemplo</w:t>
            </w:r>
          </w:p>
        </w:tc>
        <w:tc>
          <w:tcPr>
            <w:tcW w:type="dxa" w:w="164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Autonomia</w:t>
            </w:r>
          </w:p>
        </w:tc>
        <w:tc>
          <w:tcPr>
            <w:tcW w:type="dxa" w:w="321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Aprovação</w:t>
            </w:r>
          </w:p>
        </w:tc>
      </w:tr>
      <w:tr>
        <w:tc>
          <w:tcPr>
            <w:tcW w:type="dxa" w:w="85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Baixo</w:t>
            </w:r>
          </w:p>
        </w:tc>
        <w:tc>
          <w:tcPr>
            <w:tcW w:type="dxa" w:w="437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resumo interno de fontes públicas</w:t>
            </w:r>
          </w:p>
        </w:tc>
        <w:tc>
          <w:tcPr>
            <w:tcW w:type="dxa" w:w="16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Executar e registrar</w:t>
            </w:r>
          </w:p>
        </w:tc>
        <w:tc>
          <w:tcPr>
            <w:tcW w:type="dxa" w:w="321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Responsável revisa por amostragem</w:t>
            </w:r>
          </w:p>
        </w:tc>
      </w:tr>
      <w:tr>
        <w:tc>
          <w:tcPr>
            <w:tcW w:type="dxa" w:w="85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Médio</w:t>
            </w:r>
          </w:p>
        </w:tc>
        <w:tc>
          <w:tcPr>
            <w:tcW w:type="dxa" w:w="437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rascunho de e-mail, post ou roteiro</w:t>
            </w:r>
          </w:p>
        </w:tc>
        <w:tc>
          <w:tcPr>
            <w:tcW w:type="dxa" w:w="16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Produzir, não enviar</w:t>
            </w:r>
          </w:p>
        </w:tc>
        <w:tc>
          <w:tcPr>
            <w:tcW w:type="dxa" w:w="321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Marketing/comercial</w:t>
            </w:r>
          </w:p>
        </w:tc>
      </w:tr>
      <w:tr>
        <w:tc>
          <w:tcPr>
            <w:tcW w:type="dxa" w:w="85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Alto</w:t>
            </w:r>
          </w:p>
        </w:tc>
        <w:tc>
          <w:tcPr>
            <w:tcW w:type="dxa" w:w="4372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saúde, jurídico, tributário, imagem, campanha, dado sensível</w:t>
            </w:r>
          </w:p>
        </w:tc>
        <w:tc>
          <w:tcPr>
            <w:tcW w:type="dxa" w:w="164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Somente rascunho e checagem</w:t>
            </w:r>
          </w:p>
        </w:tc>
        <w:tc>
          <w:tcPr>
            <w:tcW w:type="dxa" w:w="321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Responsável técnico/jurídico + dados quando aplicável</w:t>
            </w:r>
          </w:p>
        </w:tc>
      </w:tr>
      <w:tr>
        <w:tc>
          <w:tcPr>
            <w:tcW w:type="dxa" w:w="85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Proibido</w:t>
            </w:r>
          </w:p>
        </w:tc>
        <w:tc>
          <w:tcPr>
            <w:tcW w:type="dxa" w:w="4372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diagnóstico, parecer, prescrição, promessa, captação vedada, exfiltração</w:t>
            </w:r>
          </w:p>
        </w:tc>
        <w:tc>
          <w:tcPr>
            <w:tcW w:type="dxa" w:w="164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Bloquear</w:t>
            </w:r>
          </w:p>
        </w:tc>
        <w:tc>
          <w:tcPr>
            <w:tcW w:type="dxa" w:w="321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Não aprovável sem redesenho</w:t>
            </w:r>
          </w:p>
        </w:tc>
      </w:tr>
    </w:tbl>
    <w:p>
      <w:pPr>
        <w:spacing w:after="40"/>
      </w:pPr>
    </w:p>
    <w:p>
      <w:pPr>
        <w:pStyle w:val="Heading1"/>
      </w:pPr>
      <w:r>
        <w:t>Cadências operacionais</w:t>
      </w:r>
    </w:p>
    <w:p>
      <w:pPr>
        <w:pStyle w:val="Heading2"/>
      </w:pPr>
      <w:r>
        <w:t>Diário</w:t>
      </w:r>
    </w:p>
    <w:p>
      <w:pPr>
        <w:pStyle w:val="ListBullet"/>
      </w:pPr>
      <w:r>
        <w:t>08h: pesquisa de sinais e fila de contas, sem envio.</w:t>
      </w:r>
    </w:p>
    <w:p>
      <w:pPr>
        <w:pStyle w:val="ListBullet"/>
      </w:pPr>
      <w:r>
        <w:t>09h: revisão humana e priorização.</w:t>
      </w:r>
    </w:p>
    <w:p>
      <w:pPr>
        <w:pStyle w:val="ListBullet"/>
      </w:pPr>
      <w:r>
        <w:t>11h: rascunhos de conteúdo/prospecção.</w:t>
      </w:r>
    </w:p>
    <w:p>
      <w:pPr>
        <w:pStyle w:val="ListBullet"/>
      </w:pPr>
      <w:r>
        <w:t>14h: QA/compliance e devoluções.</w:t>
      </w:r>
    </w:p>
    <w:p>
      <w:pPr>
        <w:pStyle w:val="ListBullet"/>
      </w:pPr>
      <w:r>
        <w:t>16h: publicação/envio aprovado por operador humano.</w:t>
      </w:r>
    </w:p>
    <w:p>
      <w:pPr>
        <w:pStyle w:val="ListBullet"/>
      </w:pPr>
      <w:r>
        <w:t>18h: relatório de execução, erros e bloqueios.</w:t>
      </w:r>
    </w:p>
    <w:p>
      <w:pPr>
        <w:pStyle w:val="Heading2"/>
      </w:pPr>
      <w:r>
        <w:t>Semanal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64"/>
      </w:tblGrid>
      <w:tr>
        <w:trPr>
          <w:tblHeader/>
        </w:trPr>
        <w:tc>
          <w:tcPr>
            <w:tcW w:type="dxa" w:w="201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Dia</w:t>
            </w:r>
          </w:p>
        </w:tc>
        <w:tc>
          <w:tcPr>
            <w:tcW w:type="dxa" w:w="8064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Ciclo</w:t>
            </w:r>
          </w:p>
        </w:tc>
      </w:tr>
      <w:tr>
        <w:tc>
          <w:tcPr>
            <w:tcW w:type="dxa" w:w="20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Segunda</w:t>
            </w:r>
          </w:p>
        </w:tc>
        <w:tc>
          <w:tcPr>
            <w:tcW w:type="dxa" w:w="80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pauta, ICP, eventos gatilho e prioridades</w:t>
            </w:r>
          </w:p>
        </w:tc>
      </w:tr>
      <w:tr>
        <w:tc>
          <w:tcPr>
            <w:tcW w:type="dxa" w:w="20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Terça</w:t>
            </w:r>
          </w:p>
        </w:tc>
        <w:tc>
          <w:tcPr>
            <w:tcW w:type="dxa" w:w="806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pesquisa competitiva e prospecção</w:t>
            </w:r>
          </w:p>
        </w:tc>
      </w:tr>
      <w:tr>
        <w:tc>
          <w:tcPr>
            <w:tcW w:type="dxa" w:w="20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Quarta</w:t>
            </w:r>
          </w:p>
        </w:tc>
        <w:tc>
          <w:tcPr>
            <w:tcW w:type="dxa" w:w="80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conteúdo, vídeo e preparação de live</w:t>
            </w:r>
          </w:p>
        </w:tc>
      </w:tr>
      <w:tr>
        <w:tc>
          <w:tcPr>
            <w:tcW w:type="dxa" w:w="201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Quinta</w:t>
            </w:r>
          </w:p>
        </w:tc>
        <w:tc>
          <w:tcPr>
            <w:tcW w:type="dxa" w:w="8064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campanhas, demos e materiais de parceiros</w:t>
            </w:r>
          </w:p>
        </w:tc>
      </w:tr>
      <w:tr>
        <w:tc>
          <w:tcPr>
            <w:tcW w:type="dxa" w:w="201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Sexta</w:t>
            </w:r>
          </w:p>
        </w:tc>
        <w:tc>
          <w:tcPr>
            <w:tcW w:type="dxa" w:w="8064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reporting, QA, revisão de prompts e aprendizado aprovado</w:t>
            </w:r>
          </w:p>
        </w:tc>
      </w:tr>
    </w:tbl>
    <w:p>
      <w:pPr>
        <w:spacing w:after="40"/>
      </w:pPr>
    </w:p>
    <w:p>
      <w:pPr>
        <w:pStyle w:val="Heading2"/>
      </w:pPr>
      <w:r>
        <w:t>Mensal</w:t>
      </w:r>
    </w:p>
    <w:p>
      <w:pPr>
        <w:pStyle w:val="ListBullet"/>
      </w:pPr>
      <w:r>
        <w:t>revisão normativa e de fontes;</w:t>
      </w:r>
    </w:p>
    <w:p>
      <w:pPr>
        <w:pStyle w:val="ListBullet"/>
      </w:pPr>
      <w:r>
        <w:t>análise de ganhos e perdas e feedback humano;</w:t>
      </w:r>
    </w:p>
    <w:p>
      <w:pPr>
        <w:pStyle w:val="ListBullet"/>
      </w:pPr>
      <w:r>
        <w:t>auditoria de acesso, retenção e incidentes;</w:t>
      </w:r>
    </w:p>
    <w:p>
      <w:pPr>
        <w:pStyle w:val="ListBullet"/>
      </w:pPr>
      <w:r>
        <w:t>avaliação de agentes: precisão, aprovação, retrabalho, custo e valor;</w:t>
      </w:r>
    </w:p>
    <w:p>
      <w:pPr>
        <w:pStyle w:val="ListBullet"/>
      </w:pPr>
      <w:r>
        <w:t>promover, limitar ou desativar versões.</w:t>
      </w:r>
    </w:p>
    <w:p>
      <w:pPr>
        <w:pStyle w:val="Heading1"/>
      </w:pPr>
      <w:r>
        <w:t>Fluxo de aprovação humana</w:t>
      </w:r>
    </w:p>
    <w:p>
      <w:pPr/>
      <w:r>
        <w:t>1. Agente autor produz artefato e evidências.</w:t>
      </w:r>
    </w:p>
    <w:p>
      <w:pPr/>
      <w:r>
        <w:t>2. QA/compliance executa regras determinísticas e revisão contextual.</w:t>
      </w:r>
    </w:p>
    <w:p>
      <w:pPr/>
      <w:r>
        <w:t>3. Responsável de negócio valida objetivo, público e claim.</w:t>
      </w:r>
    </w:p>
    <w:p>
      <w:pPr/>
      <w:r>
        <w:t>4. Responsável setorial aprova conteúdo regulado.</w:t>
      </w:r>
    </w:p>
    <w:p>
      <w:pPr/>
      <w:r>
        <w:t>5. Encarregado/jurídico valida dados ou campanha de risco.</w:t>
      </w:r>
    </w:p>
    <w:p>
      <w:pPr/>
      <w:r>
        <w:t>6. Operador autorizado publica/envia.</w:t>
      </w:r>
    </w:p>
    <w:p>
      <w:pPr/>
      <w:r>
        <w:t>7. Sistema registra versão, aprovadores, data, destino e métricas.</w:t>
      </w:r>
    </w:p>
    <w:p>
      <w:pPr/>
      <w:r/>
      <w:r>
        <w:rPr>
          <w:rFonts w:ascii="Calibri" w:hAnsi="Calibri"/>
          <w:b/>
          <w:color w:val="000000"/>
        </w:rPr>
        <w:t>Regra:</w:t>
      </w:r>
      <w:r>
        <w:t xml:space="preserve"> silêncio não é aprovação. Alteração após aprovação invalida o aceite e reinicia o gate.</w:t>
      </w:r>
    </w:p>
    <w:p>
      <w:pPr>
        <w:pStyle w:val="Heading1"/>
      </w:pPr>
      <w:r>
        <w:t>Matriz RACI</w:t>
      </w:r>
    </w:p>
    <w:p>
      <w:pPr/>
      <w:r>
        <w:t xml:space="preserve">Papéis: </w:t>
      </w:r>
      <w:r>
        <w:rPr>
          <w:rFonts w:ascii="Calibri" w:hAnsi="Calibri"/>
          <w:b/>
          <w:color w:val="000000"/>
        </w:rPr>
        <w:t>PAT</w:t>
      </w:r>
      <w:r>
        <w:t xml:space="preserve"> = patrocinador; </w:t>
      </w:r>
      <w:r>
        <w:rPr>
          <w:rFonts w:ascii="Calibri" w:hAnsi="Calibri"/>
          <w:b/>
          <w:color w:val="000000"/>
        </w:rPr>
        <w:t>PO</w:t>
      </w:r>
      <w:r>
        <w:t xml:space="preserve"> = product responsável Hermes; </w:t>
      </w:r>
      <w:r>
        <w:rPr>
          <w:rFonts w:ascii="Calibri" w:hAnsi="Calibri"/>
          <w:b/>
          <w:color w:val="000000"/>
        </w:rPr>
        <w:t>ENG</w:t>
      </w:r>
      <w:r>
        <w:t xml:space="preserve"> = engenharia/DevOps; </w:t>
      </w:r>
      <w:r>
        <w:rPr>
          <w:rFonts w:ascii="Calibri" w:hAnsi="Calibri"/>
          <w:b/>
          <w:color w:val="000000"/>
        </w:rPr>
        <w:t>REV</w:t>
      </w:r>
      <w:r>
        <w:t xml:space="preserve"> = Gestão de operações comerciais/comercial; </w:t>
      </w:r>
      <w:r>
        <w:rPr>
          <w:rFonts w:ascii="Calibri" w:hAnsi="Calibri"/>
          <w:b/>
          <w:color w:val="000000"/>
        </w:rPr>
        <w:t>MKT</w:t>
      </w:r>
      <w:r>
        <w:t xml:space="preserve"> = marketing; </w:t>
      </w:r>
      <w:r>
        <w:rPr>
          <w:rFonts w:ascii="Calibri" w:hAnsi="Calibri"/>
          <w:b/>
          <w:color w:val="000000"/>
        </w:rPr>
        <w:t>COMP</w:t>
      </w:r>
      <w:r>
        <w:t xml:space="preserve"> = jurídico/LGPD/compliance; </w:t>
      </w:r>
      <w:r>
        <w:rPr>
          <w:rFonts w:ascii="Calibri" w:hAnsi="Calibri"/>
          <w:b/>
          <w:color w:val="000000"/>
        </w:rPr>
        <w:t>RT</w:t>
      </w:r>
      <w:r>
        <w:t xml:space="preserve"> = responsável técnico/setorial; </w:t>
      </w:r>
      <w:r>
        <w:rPr>
          <w:rFonts w:ascii="Calibri" w:hAnsi="Calibri"/>
          <w:b/>
          <w:color w:val="000000"/>
        </w:rPr>
        <w:t>OPS</w:t>
      </w:r>
      <w:r>
        <w:t xml:space="preserve"> = operador humano.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30"/>
        <w:gridCol w:w="980"/>
        <w:gridCol w:w="980"/>
        <w:gridCol w:w="980"/>
        <w:gridCol w:w="980"/>
        <w:gridCol w:w="980"/>
        <w:gridCol w:w="980"/>
        <w:gridCol w:w="1190"/>
        <w:gridCol w:w="980"/>
      </w:tblGrid>
      <w:tr>
        <w:trPr>
          <w:tblHeader/>
        </w:trPr>
        <w:tc>
          <w:tcPr>
            <w:tcW w:type="dxa" w:w="203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Atividade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PAT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ENG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REV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MKT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COMP</w:t>
            </w:r>
          </w:p>
        </w:tc>
        <w:tc>
          <w:tcPr>
            <w:tcW w:type="dxa" w:w="119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RT</w:t>
            </w:r>
          </w:p>
        </w:tc>
        <w:tc>
          <w:tcPr>
            <w:tcW w:type="dxa" w:w="980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OPS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Priorizar casos de uso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Definir arquitetura e acessos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Criar agente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Definir política LGPD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119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Definir regra setorial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Aprovar prospecção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Aprovar conteúdo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 quando regulado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Publicar/enviar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Monitorar qualidade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</w:tr>
      <w:tr>
        <w:tc>
          <w:tcPr>
            <w:tcW w:type="dxa" w:w="203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Responder incidente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A/R</w:t>
            </w:r>
          </w:p>
        </w:tc>
        <w:tc>
          <w:tcPr>
            <w:tcW w:type="dxa" w:w="119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  <w:tr>
        <w:tc>
          <w:tcPr>
            <w:tcW w:type="dxa" w:w="203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Desativar agente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119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980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  <w:jc w:val="center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</w:t>
            </w:r>
          </w:p>
        </w:tc>
      </w:tr>
    </w:tbl>
    <w:p>
      <w:pPr>
        <w:spacing w:after="40"/>
      </w:pPr>
    </w:p>
    <w:p>
      <w:pPr/>
      <w:r>
        <w:t xml:space="preserve">Legenda: </w:t>
      </w:r>
      <w:r>
        <w:rPr>
          <w:rFonts w:ascii="Calibri" w:hAnsi="Calibri"/>
          <w:b/>
          <w:color w:val="000000"/>
        </w:rPr>
        <w:t>R</w:t>
      </w:r>
      <w:r>
        <w:t xml:space="preserve"> executa; </w:t>
      </w:r>
      <w:r>
        <w:rPr>
          <w:rFonts w:ascii="Calibri" w:hAnsi="Calibri"/>
          <w:b/>
          <w:color w:val="000000"/>
        </w:rPr>
        <w:t>A</w:t>
      </w:r>
      <w:r>
        <w:t xml:space="preserve"> responde pelo resultado; </w:t>
      </w:r>
      <w:r>
        <w:rPr>
          <w:rFonts w:ascii="Calibri" w:hAnsi="Calibri"/>
          <w:b/>
          <w:color w:val="000000"/>
        </w:rPr>
        <w:t>C</w:t>
      </w:r>
      <w:r>
        <w:t xml:space="preserve"> consultado; </w:t>
      </w:r>
      <w:r>
        <w:rPr>
          <w:rFonts w:ascii="Calibri" w:hAnsi="Calibri"/>
          <w:b/>
          <w:color w:val="000000"/>
        </w:rPr>
        <w:t>I</w:t>
      </w:r>
      <w:r>
        <w:t xml:space="preserve"> informado.</w:t>
      </w:r>
    </w:p>
    <w:p>
      <w:pPr>
        <w:pStyle w:val="Heading1"/>
      </w:pPr>
      <w:r>
        <w:t>KPIs e critérios de promoção de autonomia</w:t>
      </w:r>
    </w:p>
    <w:p>
      <w:pPr>
        <w:pStyle w:val="Heading2"/>
      </w:pPr>
      <w:r>
        <w:t>Qualidade</w:t>
      </w:r>
    </w:p>
    <w:p>
      <w:pPr>
        <w:pStyle w:val="ListBullet"/>
      </w:pPr>
      <w:r>
        <w:t>precisão factual e percentual de afirmações com fonte;</w:t>
      </w:r>
    </w:p>
    <w:p>
      <w:pPr>
        <w:pStyle w:val="ListBullet"/>
      </w:pPr>
      <w:r>
        <w:t>taxa de aprovação sem alteração;</w:t>
      </w:r>
    </w:p>
    <w:p>
      <w:pPr>
        <w:pStyle w:val="ListBullet"/>
      </w:pPr>
      <w:r>
        <w:t>severidade e volume de correções;</w:t>
      </w:r>
    </w:p>
    <w:p>
      <w:pPr>
        <w:pStyle w:val="ListBullet"/>
      </w:pPr>
      <w:r>
        <w:t>cobertura de checklist;</w:t>
      </w:r>
    </w:p>
    <w:p>
      <w:pPr>
        <w:pStyle w:val="ListBullet"/>
      </w:pPr>
      <w:r>
        <w:t>taxa de alucinação/claim sem evidência.</w:t>
      </w:r>
    </w:p>
    <w:p>
      <w:pPr>
        <w:pStyle w:val="Heading2"/>
      </w:pPr>
      <w:r>
        <w:t>Operação</w:t>
      </w:r>
    </w:p>
    <w:p>
      <w:pPr>
        <w:pStyle w:val="ListBullet"/>
      </w:pPr>
      <w:r>
        <w:t>tempo até rascunho;</w:t>
      </w:r>
    </w:p>
    <w:p>
      <w:pPr>
        <w:pStyle w:val="ListBullet"/>
      </w:pPr>
      <w:r>
        <w:t>tempo até aprovação;</w:t>
      </w:r>
    </w:p>
    <w:p>
      <w:pPr>
        <w:pStyle w:val="ListBullet"/>
      </w:pPr>
      <w:r>
        <w:t>jobs concluídos, bloqueados e reprocessados;</w:t>
      </w:r>
    </w:p>
    <w:p>
      <w:pPr>
        <w:pStyle w:val="ListBullet"/>
      </w:pPr>
      <w:r>
        <w:t>custo por job;</w:t>
      </w:r>
    </w:p>
    <w:p>
      <w:pPr>
        <w:pStyle w:val="ListBullet"/>
      </w:pPr>
      <w:r>
        <w:t>disponibilidade e falhas de ferramenta.</w:t>
      </w:r>
    </w:p>
    <w:p>
      <w:pPr>
        <w:pStyle w:val="Heading2"/>
      </w:pPr>
      <w:r>
        <w:t>Segurança e conformidade</w:t>
      </w:r>
    </w:p>
    <w:p>
      <w:pPr>
        <w:pStyle w:val="ListBullet"/>
      </w:pPr>
      <w:r>
        <w:t>dados pessoais indevidos por job;</w:t>
      </w:r>
    </w:p>
    <w:p>
      <w:pPr>
        <w:pStyle w:val="ListBullet"/>
      </w:pPr>
      <w:r>
        <w:t>tentativas bloqueadas;</w:t>
      </w:r>
    </w:p>
    <w:p>
      <w:pPr>
        <w:pStyle w:val="ListBullet"/>
      </w:pPr>
      <w:r>
        <w:t>conteúdo regulado sem aprovação;</w:t>
      </w:r>
    </w:p>
    <w:p>
      <w:pPr>
        <w:pStyle w:val="ListBullet"/>
      </w:pPr>
      <w:r>
        <w:t>opt-outs respeitados;</w:t>
      </w:r>
    </w:p>
    <w:p>
      <w:pPr>
        <w:pStyle w:val="ListBullet"/>
      </w:pPr>
      <w:r>
        <w:t>incidentes e tempo de contenção.</w:t>
      </w:r>
    </w:p>
    <w:p>
      <w:pPr>
        <w:pStyle w:val="Heading2"/>
      </w:pPr>
      <w:r>
        <w:t>Valor</w:t>
      </w:r>
    </w:p>
    <w:p>
      <w:pPr>
        <w:pStyle w:val="ListBullet"/>
      </w:pPr>
      <w:r>
        <w:t>horas poupadas validadas por amostragem;</w:t>
      </w:r>
    </w:p>
    <w:p>
      <w:pPr>
        <w:pStyle w:val="ListBullet"/>
      </w:pPr>
      <w:r>
        <w:t>pesquisa utilizada em decisão;</w:t>
      </w:r>
    </w:p>
    <w:p>
      <w:pPr>
        <w:pStyle w:val="ListBullet"/>
      </w:pPr>
      <w:r>
        <w:t>rascunhos publicados;</w:t>
      </w:r>
    </w:p>
    <w:p>
      <w:pPr>
        <w:pStyle w:val="ListBullet"/>
      </w:pPr>
      <w:r>
        <w:t>reuniões qualificadas aceitas;</w:t>
      </w:r>
    </w:p>
    <w:p>
      <w:pPr>
        <w:pStyle w:val="ListBullet"/>
      </w:pPr>
      <w:r>
        <w:t>melhoria de completude, resposta ou SLA, sem alegar causalidade automática.</w:t>
      </w:r>
    </w:p>
    <w:p>
      <w:pPr/>
      <w:r>
        <w:t>Autonomia só aumenta após quatro semanas sem incidente crítico, qualidade acima do limiar definido e aprovação formal do responsável e compliance.</w:t>
      </w:r>
    </w:p>
    <w:p>
      <w:pPr>
        <w:pStyle w:val="Heading1"/>
      </w:pPr>
      <w:r>
        <w:t>Cronograma de implantação 12 semanas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76"/>
        <w:gridCol w:w="4536"/>
        <w:gridCol w:w="4368"/>
      </w:tblGrid>
      <w:tr>
        <w:trPr>
          <w:tblHeader/>
        </w:trPr>
        <w:tc>
          <w:tcPr>
            <w:tcW w:type="dxa" w:w="117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Semana</w:t>
            </w:r>
          </w:p>
        </w:tc>
        <w:tc>
          <w:tcPr>
            <w:tcW w:type="dxa" w:w="4536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Entrega</w:t>
            </w:r>
          </w:p>
        </w:tc>
        <w:tc>
          <w:tcPr>
            <w:tcW w:type="dxa" w:w="4368"/>
            <w:vAlign w:val="center"/>
            <w:shd w:fill="163554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Gate de saída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Inventário do Hermes, acessos, owners e dados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Ambiente validado; nenhuma credencial em documento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Contrato de job, taxonomia de risco e catálogo inicial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PO e compliance aprovam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Repositório de fontes/políticas e logs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Retenção e acesso definidos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Atlas em pesquisa e reporting offline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Avaliações factuais aprovadas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Atlas em inteligência competitiva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Fontes, datas e limites validados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Luma em conteúdo com revisão humana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Nenhuma publicação automática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Luma em roteiros de vídeo e lives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Gate setorial funcionando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Prospecção e Qualificação em shadow mode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Nenhum envio; score explicável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Promoções/Campanhas em sandbox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WABA/AnyChat ainda sem envio real, salvo homologação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Integração piloto de uma ferramenta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Auth, logs, retry, rollback e teste de falha</w:t>
            </w:r>
          </w:p>
        </w:tc>
      </w:tr>
      <w:tr>
        <w:tc>
          <w:tcPr>
            <w:tcW w:type="dxa" w:w="117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4536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Piloto com um vertical e audiência controlada</w:t>
            </w:r>
          </w:p>
        </w:tc>
        <w:tc>
          <w:tcPr>
            <w:tcW w:type="dxa" w:w="4368"/>
            <w:vAlign w:val="center"/>
            <w:shd w:fill="F3F6FA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Métricas e incidentes revisados</w:t>
            </w:r>
          </w:p>
        </w:tc>
      </w:tr>
      <w:tr>
        <w:tc>
          <w:tcPr>
            <w:tcW w:type="dxa" w:w="117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4536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Go/no-go, runbook, treinamento e backlog</w:t>
            </w:r>
          </w:p>
        </w:tc>
        <w:tc>
          <w:tcPr>
            <w:tcW w:type="dxa" w:w="4368"/>
            <w:vAlign w:val="center"/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rFonts w:ascii="Calibri" w:hAnsi="Calibri"/>
                <w:b w:val="0"/>
                <w:color w:val="000000"/>
                <w:sz w:val="19"/>
              </w:rPr>
              <w:t>Autonomia explicitamente aprovada</w:t>
            </w:r>
          </w:p>
        </w:tc>
      </w:tr>
    </w:tbl>
    <w:p>
      <w:pPr>
        <w:spacing w:after="40"/>
      </w:pPr>
    </w:p>
    <w:p>
      <w:pPr>
        <w:pStyle w:val="Heading1"/>
      </w:pPr>
      <w:r>
        <w:t>Backlog por prioridade</w:t>
      </w:r>
    </w:p>
    <w:p>
      <w:pPr>
        <w:pStyle w:val="Heading2"/>
      </w:pPr>
      <w:r>
        <w:t>P0 antes de qualquer automação externa</w:t>
      </w:r>
    </w:p>
    <w:p>
      <w:pPr>
        <w:pStyle w:val="ListBullet"/>
      </w:pPr>
      <w:r>
        <w:t>confirmar saúde do Hermes/WebUI e controle de acesso;</w:t>
      </w:r>
    </w:p>
    <w:p>
      <w:pPr>
        <w:pStyle w:val="ListBullet"/>
      </w:pPr>
      <w:r>
        <w:t>definir owners, tenants e segregação;</w:t>
      </w:r>
    </w:p>
    <w:p>
      <w:pPr>
        <w:pStyle w:val="ListBullet"/>
      </w:pPr>
      <w:r>
        <w:t>criar contratos de entrada/saída e logging;</w:t>
      </w:r>
    </w:p>
    <w:p>
      <w:pPr>
        <w:pStyle w:val="ListBullet"/>
      </w:pPr>
      <w:r>
        <w:t>implantar cofre de segredos;</w:t>
      </w:r>
    </w:p>
    <w:p>
      <w:pPr>
        <w:pStyle w:val="ListBullet"/>
      </w:pPr>
      <w:r>
        <w:t>cadastrar políticas LGPD e setoriais versionadas;</w:t>
      </w:r>
    </w:p>
    <w:p>
      <w:pPr>
        <w:pStyle w:val="ListBullet"/>
      </w:pPr>
      <w:r>
        <w:t>preparar botão de parada e rollback;</w:t>
      </w:r>
    </w:p>
    <w:p>
      <w:pPr>
        <w:pStyle w:val="ListBullet"/>
      </w:pPr>
      <w:r>
        <w:t>construir conjunto de avaliação.</w:t>
      </w:r>
    </w:p>
    <w:p>
      <w:pPr>
        <w:pStyle w:val="Heading2"/>
      </w:pPr>
      <w:r>
        <w:t>P1 produtividade interna</w:t>
      </w:r>
    </w:p>
    <w:p>
      <w:pPr>
        <w:pStyle w:val="ListBullet"/>
      </w:pPr>
      <w:r>
        <w:t>pesquisa de mercado;</w:t>
      </w:r>
    </w:p>
    <w:p>
      <w:pPr>
        <w:pStyle w:val="ListBullet"/>
      </w:pPr>
      <w:r>
        <w:t>inteligência competitiva;</w:t>
      </w:r>
    </w:p>
    <w:p>
      <w:pPr>
        <w:pStyle w:val="ListBullet"/>
      </w:pPr>
      <w:r>
        <w:t>reporting;</w:t>
      </w:r>
    </w:p>
    <w:p>
      <w:pPr>
        <w:pStyle w:val="ListBullet"/>
      </w:pPr>
      <w:r>
        <w:t>conteúdo, roteiro e live em modo rascunho;</w:t>
      </w:r>
    </w:p>
    <w:p>
      <w:pPr>
        <w:pStyle w:val="ListBullet"/>
      </w:pPr>
      <w:r>
        <w:t>QA/compliance independente.</w:t>
      </w:r>
    </w:p>
    <w:p>
      <w:pPr>
        <w:pStyle w:val="Heading2"/>
      </w:pPr>
      <w:r>
        <w:t>P2 receita supervisionada</w:t>
      </w:r>
    </w:p>
    <w:p>
      <w:pPr>
        <w:pStyle w:val="ListBullet"/>
      </w:pPr>
      <w:r>
        <w:t>prospecção e qualificação em shadow mode;</w:t>
      </w:r>
    </w:p>
    <w:p>
      <w:pPr>
        <w:pStyle w:val="ListBullet"/>
      </w:pPr>
      <w:r>
        <w:t>integração controlada com CRM/Inbox;</w:t>
      </w:r>
    </w:p>
    <w:p>
      <w:pPr>
        <w:pStyle w:val="ListBullet"/>
      </w:pPr>
      <w:r>
        <w:t>campanhas WABA com Dry run e aprovação;</w:t>
      </w:r>
    </w:p>
    <w:p>
      <w:pPr>
        <w:pStyle w:val="ListBullet"/>
      </w:pPr>
      <w:r>
        <w:t>experimentos por vertical.</w:t>
      </w:r>
    </w:p>
    <w:p>
      <w:pPr>
        <w:pStyle w:val="Heading2"/>
      </w:pPr>
      <w:r>
        <w:t>P3 autonomia limitada</w:t>
      </w:r>
    </w:p>
    <w:p>
      <w:pPr>
        <w:pStyle w:val="ListBullet"/>
      </w:pPr>
      <w:r>
        <w:t>agendamentos de jobs de baixo risco;</w:t>
      </w:r>
    </w:p>
    <w:p>
      <w:pPr>
        <w:pStyle w:val="ListBullet"/>
      </w:pPr>
      <w:r>
        <w:t>publicação interna automática;</w:t>
      </w:r>
    </w:p>
    <w:p>
      <w:pPr>
        <w:pStyle w:val="ListBullet"/>
      </w:pPr>
      <w:r>
        <w:t>ações externas reversíveis e com limites de volume;</w:t>
      </w:r>
    </w:p>
    <w:p>
      <w:pPr>
        <w:pStyle w:val="ListBullet"/>
      </w:pPr>
      <w:r>
        <w:t>nunca remover aprovação técnica de conteúdo regulado.</w:t>
      </w:r>
    </w:p>
    <w:p>
      <w:pPr>
        <w:pStyle w:val="Heading1"/>
      </w:pPr>
      <w:r>
        <w:t>Checklist de entrada em operação</w:t>
      </w:r>
    </w:p>
    <w:p>
      <w:pPr/>
      <w:r>
        <w:t>☐ Hermes e WebUI testados com autenticação e logs;</w:t>
      </w:r>
    </w:p>
    <w:p>
      <w:pPr/>
      <w:r>
        <w:t>☐ gateway continua não exposto diretamente;</w:t>
      </w:r>
    </w:p>
    <w:p>
      <w:pPr/>
      <w:r>
        <w:t>☐ owners e RACI assinados;</w:t>
      </w:r>
    </w:p>
    <w:p>
      <w:pPr/>
      <w:r>
        <w:t>☐ segredos fora de prompts e repositórios;</w:t>
      </w:r>
    </w:p>
    <w:p>
      <w:pPr/>
      <w:r>
        <w:t>☐ separação por cliente/tenant validada;</w:t>
      </w:r>
    </w:p>
    <w:p>
      <w:pPr/>
      <w:r>
        <w:t>☐ fontes oficiais e políticas versionadas;</w:t>
      </w:r>
    </w:p>
    <w:p>
      <w:pPr/>
      <w:r>
        <w:t>☐ conjunto de avaliações passou pelo limiar;</w:t>
      </w:r>
    </w:p>
    <w:p>
      <w:pPr/>
      <w:r>
        <w:t>☐ prompt injection e exfiltração testados;</w:t>
      </w:r>
    </w:p>
    <w:p>
      <w:pPr/>
      <w:r>
        <w:t>☐ níveis de risco aplicados;</w:t>
      </w:r>
    </w:p>
    <w:p>
      <w:pPr/>
      <w:r>
        <w:t>☐ aprovações humanas registradas;</w:t>
      </w:r>
    </w:p>
    <w:p>
      <w:pPr/>
      <w:r>
        <w:t>☐ opt-out e retenção implementados;</w:t>
      </w:r>
    </w:p>
    <w:p>
      <w:pPr/>
      <w:r>
        <w:t>☐ integrações testadas com falha, retry e rollback;</w:t>
      </w:r>
    </w:p>
    <w:p>
      <w:pPr/>
      <w:r>
        <w:t>☐ agente não publica ou envia além da autonomia concedida;</w:t>
      </w:r>
    </w:p>
    <w:p>
      <w:pPr/>
      <w:r>
        <w:t>☐ relatório distingue fato, hipótese e inferência;</w:t>
      </w:r>
    </w:p>
    <w:p>
      <w:pPr/>
      <w:r>
        <w:t>☐ runbook de incidente e desativação disponível;</w:t>
      </w:r>
    </w:p>
    <w:p>
      <w:pPr/>
      <w:r>
        <w:t>☐ revisão após 7, 14 e 30 dias agendada.</w:t>
      </w:r>
    </w:p>
    <w:p>
      <w:pPr>
        <w:pStyle w:val="Heading1"/>
      </w:pPr>
      <w:r>
        <w:t>Decisões ainda pendentes</w:t>
      </w:r>
    </w:p>
    <w:p>
      <w:pPr/>
      <w:r>
        <w:t>1. Qual sistema será a fonte principal de contas, contatos e pipeline?</w:t>
      </w:r>
    </w:p>
    <w:p>
      <w:pPr/>
      <w:r>
        <w:t>2. O Hermes terá fila própria ou será acionado pelo n8n/Paperclip?</w:t>
      </w:r>
    </w:p>
    <w:p>
      <w:pPr/>
      <w:r>
        <w:t>3. Qual cofre armazenará credenciais?</w:t>
      </w:r>
    </w:p>
    <w:p>
      <w:pPr/>
      <w:r>
        <w:t>4. Como será a separação por cliente e vertical?</w:t>
      </w:r>
    </w:p>
    <w:p>
      <w:pPr/>
      <w:r>
        <w:t>5. Quais modelos podem processar quais categorias de dados?</w:t>
      </w:r>
    </w:p>
    <w:p>
      <w:pPr/>
      <w:r>
        <w:t>6. Onde ficarão evidências, aprovações e retenção?</w:t>
      </w:r>
    </w:p>
    <w:p>
      <w:pPr/>
      <w:r>
        <w:t>7. Quem exerce os papéis de compliance, encarregado e RT por vertical?</w:t>
      </w:r>
    </w:p>
    <w:p>
      <w:pPr/>
      <w:r>
        <w:t>8. Qual vertical será o piloto e qual é o volume máximo?</w:t>
      </w:r>
    </w:p>
    <w:p>
      <w:pPr/>
      <w:r>
        <w:t>9. Quais métricas autorizam ampliar autonomia?</w:t>
      </w:r>
    </w:p>
    <w:p>
      <w:pPr/>
      <w:r>
        <w:t>10. Quais integrações AnyChat/Hermes são realmente necessárias no MVP?</w:t>
      </w:r>
    </w:p>
    <w:p>
      <w:pPr/>
      <w:r>
        <w:t>Este documento descreve uma arquitetura proposta. O fato de um serviço existir no servidor não confirma integração, permissão, qualidade ou adequação regulatória. Cada conexão e cada autonomia devem ser aprovadas e testadas separadamente.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55555"/>
        <w:sz w:val="18"/>
      </w:rPr>
      <w:t xml:space="preserve">Hablachat CRM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60" w:after="140" w:line="264" w:lineRule="auto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64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ds.tiktok.com/business/creativecenter/" TargetMode="External"/><Relationship Id="rId11" Type="http://schemas.openxmlformats.org/officeDocument/2006/relationships/hyperlink" Target="https://www.facebook.com/business/ads/facebook-instagram-reels-ads" TargetMode="External"/><Relationship Id="rId12" Type="http://schemas.openxmlformats.org/officeDocument/2006/relationships/hyperlink" Target="https://support.google.com/youtube/answer/11914225" TargetMode="External"/><Relationship Id="rId13" Type="http://schemas.openxmlformats.org/officeDocument/2006/relationships/hyperlink" Target="https://support.google.com/youtube/answer/12942217" TargetMode="External"/><Relationship Id="rId14" Type="http://schemas.openxmlformats.org/officeDocument/2006/relationships/hyperlink" Target="https://docs.anychat.one/" TargetMode="External"/><Relationship Id="rId15" Type="http://schemas.openxmlformats.org/officeDocument/2006/relationships/hyperlink" Target="https://anychat.one/product/shared-inbox" TargetMode="External"/><Relationship Id="rId16" Type="http://schemas.openxmlformats.org/officeDocument/2006/relationships/hyperlink" Target="https://docs.anychat.one/chatflows-chatbot-builder/chat-flow-basics/send-a-webhook" TargetMode="External"/><Relationship Id="rId17" Type="http://schemas.openxmlformats.org/officeDocument/2006/relationships/hyperlink" Target="https://www.planalto.gov.br/ccivil_03/_ato2015-2018/2018/lei/l13709compilado.htm" TargetMode="External"/><Relationship Id="rId18" Type="http://schemas.openxmlformats.org/officeDocument/2006/relationships/hyperlink" Target="https://www.gov.br/anpd/pt-br/assuntos/noticias/nova-versao-do-guia-dos-agentes-de-tratamento" TargetMode="External"/><Relationship Id="rId19" Type="http://schemas.openxmlformats.org/officeDocument/2006/relationships/hyperlink" Target="https://www.gov.br/anpd/pt-br/centrais-de-conteudo/materiais-educativos-e-publicacoes/guia_orientativo_hipoteses_legais_tratamento_de_dados_pessoais_legitimo_interesse" TargetMode="External"/><Relationship Id="rId20" Type="http://schemas.openxmlformats.org/officeDocument/2006/relationships/hyperlink" Target="https://www.oab.org.br/leisnormas/legislacao/provimentos/205-2021" TargetMode="External"/><Relationship Id="rId21" Type="http://schemas.openxmlformats.org/officeDocument/2006/relationships/hyperlink" Target="https://website.cfo.org.br/wp-content/uploads/2019/01/Resolu%C3%A7%C3%A3o-CFO-196-2019.pdf" TargetMode="External"/><Relationship Id="rId22" Type="http://schemas.openxmlformats.org/officeDocument/2006/relationships/hyperlink" Target="https://website.cfo.org.br/redes-sociais-na-odontologia-fique-atento-as-normas-eticas-e-acerte-na-publicacao-dos-conteudos/" TargetMode="External"/><Relationship Id="rId23" Type="http://schemas.openxmlformats.org/officeDocument/2006/relationships/hyperlink" Target="https://www.cofeci.gov.br/post/corretor-de-im%C3%B3veis-profissional-qualificado" TargetMode="External"/><Relationship Id="rId24" Type="http://schemas.openxmlformats.org/officeDocument/2006/relationships/hyperlink" Target="https://cfc.org.br/tecnica/normas-brasileiras-de-contabilidade/nbc-pg-geral/" TargetMode="External"/><Relationship Id="rId25" Type="http://schemas.openxmlformats.org/officeDocument/2006/relationships/hyperlink" Target="https://cfc.org.br/noticias/codigo-de-etica-profissional-do-contador-e-atualizado-saiba-o-que-mudou/" TargetMode="External"/><Relationship Id="rId26" Type="http://schemas.openxmlformats.org/officeDocument/2006/relationships/hyperlink" Target="https://cfc.org.br/fiscalizacao-etica-e-disciplina/perguntas-frequentes/assinatura-de-pecas-contabe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Lançamento comercial Hablachat CRM</dc:title>
  <dc:subject/>
  <dc:creator>Abizara Sistemas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